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1F" w:rsidRPr="007D2B8B" w:rsidRDefault="000D6F1F" w:rsidP="005D7A82">
      <w:pPr>
        <w:tabs>
          <w:tab w:val="left" w:pos="5220"/>
        </w:tabs>
        <w:spacing w:line="400" w:lineRule="exact"/>
        <w:rPr>
          <w:rFonts w:ascii="黑体" w:eastAsia="黑体" w:hAnsi="黑体" w:cs="Times New Roman"/>
          <w:b/>
          <w:bCs/>
          <w:color w:val="000000"/>
          <w:sz w:val="28"/>
          <w:szCs w:val="28"/>
        </w:rPr>
      </w:pPr>
      <w:r w:rsidRPr="007D2B8B">
        <w:rPr>
          <w:rFonts w:ascii="黑体" w:eastAsia="黑体" w:hAnsi="黑体" w:cs="黑体" w:hint="eastAsia"/>
          <w:b/>
          <w:bCs/>
          <w:color w:val="000000"/>
          <w:sz w:val="28"/>
          <w:szCs w:val="28"/>
        </w:rPr>
        <w:t>省十三届人大常委会第</w:t>
      </w:r>
      <w:r w:rsidRPr="007D2B8B">
        <w:rPr>
          <w:rFonts w:ascii="黑体" w:eastAsia="黑体" w:hAnsi="黑体" w:cs="黑体"/>
          <w:b/>
          <w:bCs/>
          <w:color w:val="000000"/>
          <w:sz w:val="28"/>
          <w:szCs w:val="28"/>
        </w:rPr>
        <w:t>39</w:t>
      </w:r>
      <w:r w:rsidRPr="007D2B8B">
        <w:rPr>
          <w:rFonts w:ascii="黑体" w:eastAsia="黑体" w:hAnsi="黑体" w:cs="黑体" w:hint="eastAsia"/>
          <w:b/>
          <w:bCs/>
          <w:color w:val="000000"/>
          <w:sz w:val="28"/>
          <w:szCs w:val="28"/>
        </w:rPr>
        <w:t>次主任会议</w:t>
      </w:r>
    </w:p>
    <w:p w:rsidR="000D6F1F" w:rsidRPr="007D2B8B" w:rsidRDefault="000D6F1F" w:rsidP="005D7A82">
      <w:pPr>
        <w:tabs>
          <w:tab w:val="left" w:pos="5220"/>
        </w:tabs>
        <w:spacing w:line="400" w:lineRule="exact"/>
        <w:rPr>
          <w:rFonts w:ascii="黑体" w:eastAsia="黑体" w:hAnsi="黑体" w:cs="Times New Roman"/>
          <w:b/>
          <w:bCs/>
          <w:color w:val="000000"/>
          <w:sz w:val="28"/>
          <w:szCs w:val="28"/>
        </w:rPr>
      </w:pPr>
      <w:r w:rsidRPr="007D2B8B">
        <w:rPr>
          <w:rFonts w:ascii="黑体" w:eastAsia="黑体" w:hAnsi="黑体" w:cs="黑体" w:hint="eastAsia"/>
          <w:b/>
          <w:bCs/>
          <w:color w:val="000000"/>
          <w:sz w:val="28"/>
          <w:szCs w:val="28"/>
        </w:rPr>
        <w:t>议题六汇报材料</w:t>
      </w:r>
    </w:p>
    <w:p w:rsidR="000D6F1F" w:rsidRPr="007D2B8B" w:rsidRDefault="000D6F1F" w:rsidP="007D2B8B">
      <w:pPr>
        <w:spacing w:line="720" w:lineRule="exact"/>
        <w:jc w:val="center"/>
        <w:rPr>
          <w:rFonts w:ascii="方正小标宋_GBK" w:eastAsia="方正小标宋_GBK" w:cs="Times New Roman"/>
          <w:b/>
          <w:bCs/>
          <w:sz w:val="44"/>
          <w:szCs w:val="44"/>
        </w:rPr>
      </w:pPr>
    </w:p>
    <w:p w:rsidR="000D6F1F" w:rsidRPr="007D2B8B" w:rsidRDefault="000D6F1F" w:rsidP="007D2B8B">
      <w:pPr>
        <w:spacing w:line="720" w:lineRule="exact"/>
        <w:jc w:val="center"/>
        <w:rPr>
          <w:rFonts w:ascii="方正小标宋_GBK" w:eastAsia="方正小标宋_GBK" w:cs="Times New Roman"/>
          <w:b/>
          <w:bCs/>
          <w:sz w:val="44"/>
          <w:szCs w:val="44"/>
        </w:rPr>
      </w:pPr>
      <w:r w:rsidRPr="007D2B8B">
        <w:rPr>
          <w:rFonts w:ascii="方正小标宋_GBK" w:eastAsia="方正小标宋_GBK" w:cs="方正小标宋_GBK" w:hint="eastAsia"/>
          <w:b/>
          <w:bCs/>
          <w:sz w:val="44"/>
          <w:szCs w:val="44"/>
        </w:rPr>
        <w:t>关于《湖南省洞庭湖保护条例（草案）》</w:t>
      </w:r>
    </w:p>
    <w:p w:rsidR="000D6F1F" w:rsidRPr="007D2B8B" w:rsidRDefault="000D6F1F" w:rsidP="007D2B8B">
      <w:pPr>
        <w:spacing w:line="720" w:lineRule="exact"/>
        <w:jc w:val="center"/>
        <w:rPr>
          <w:rFonts w:ascii="方正小标宋_GBK" w:eastAsia="方正小标宋_GBK" w:cs="Times New Roman"/>
          <w:b/>
          <w:bCs/>
          <w:sz w:val="44"/>
          <w:szCs w:val="44"/>
        </w:rPr>
      </w:pPr>
      <w:r w:rsidRPr="007D2B8B">
        <w:rPr>
          <w:rFonts w:ascii="方正小标宋_GBK" w:eastAsia="方正小标宋_GBK" w:cs="方正小标宋_GBK" w:hint="eastAsia"/>
          <w:b/>
          <w:bCs/>
          <w:sz w:val="44"/>
          <w:szCs w:val="44"/>
        </w:rPr>
        <w:t>审议意见的报告</w:t>
      </w:r>
    </w:p>
    <w:p w:rsidR="000D6F1F" w:rsidRPr="007D2B8B" w:rsidRDefault="000D6F1F" w:rsidP="007D2B8B">
      <w:pPr>
        <w:spacing w:line="600" w:lineRule="exact"/>
        <w:jc w:val="center"/>
        <w:rPr>
          <w:rFonts w:ascii="楷体_GB2312" w:eastAsia="楷体_GB2312" w:cs="Times New Roman"/>
          <w:b/>
          <w:bCs/>
          <w:sz w:val="44"/>
          <w:szCs w:val="44"/>
        </w:rPr>
      </w:pPr>
    </w:p>
    <w:p w:rsidR="000D6F1F" w:rsidRPr="007D2B8B" w:rsidRDefault="000D6F1F" w:rsidP="007D2B8B">
      <w:pPr>
        <w:spacing w:line="600" w:lineRule="exact"/>
        <w:jc w:val="center"/>
        <w:rPr>
          <w:rFonts w:ascii="楷体_GB2312" w:eastAsia="楷体_GB2312" w:cs="Times New Roman"/>
          <w:b/>
          <w:bCs/>
          <w:sz w:val="32"/>
          <w:szCs w:val="32"/>
        </w:rPr>
      </w:pPr>
      <w:r w:rsidRPr="007D2B8B">
        <w:rPr>
          <w:rFonts w:ascii="楷体_GB2312" w:eastAsia="楷体_GB2312" w:hAnsi="宋体" w:cs="楷体_GB2312" w:hint="eastAsia"/>
          <w:b/>
          <w:bCs/>
          <w:sz w:val="32"/>
          <w:szCs w:val="32"/>
        </w:rPr>
        <w:t>省人大财政经济委员会</w:t>
      </w:r>
    </w:p>
    <w:p w:rsidR="000D6F1F" w:rsidRPr="007D2B8B" w:rsidRDefault="000D6F1F" w:rsidP="007D2B8B">
      <w:pPr>
        <w:spacing w:line="600" w:lineRule="exact"/>
        <w:jc w:val="center"/>
        <w:rPr>
          <w:rFonts w:ascii="楷体_GB2312" w:eastAsia="楷体_GB2312" w:cs="Times New Roman"/>
          <w:b/>
          <w:bCs/>
          <w:sz w:val="32"/>
          <w:szCs w:val="32"/>
        </w:rPr>
      </w:pPr>
      <w:r w:rsidRPr="007D2B8B">
        <w:rPr>
          <w:rFonts w:ascii="楷体_GB2312" w:eastAsia="楷体_GB2312" w:hAnsi="宋体" w:cs="楷体_GB2312" w:hint="eastAsia"/>
          <w:b/>
          <w:bCs/>
          <w:sz w:val="32"/>
          <w:szCs w:val="32"/>
        </w:rPr>
        <w:t>（</w:t>
      </w:r>
      <w:r w:rsidRPr="007D2B8B">
        <w:rPr>
          <w:rFonts w:ascii="楷体_GB2312" w:eastAsia="楷体_GB2312" w:hAnsi="宋体" w:cs="楷体_GB2312"/>
          <w:b/>
          <w:bCs/>
          <w:sz w:val="32"/>
          <w:szCs w:val="32"/>
        </w:rPr>
        <w:t>2019</w:t>
      </w:r>
      <w:r w:rsidRPr="007D2B8B">
        <w:rPr>
          <w:rFonts w:ascii="楷体_GB2312" w:eastAsia="楷体_GB2312" w:hAnsi="宋体" w:cs="楷体_GB2312" w:hint="eastAsia"/>
          <w:b/>
          <w:bCs/>
          <w:sz w:val="32"/>
          <w:szCs w:val="32"/>
        </w:rPr>
        <w:t>年</w:t>
      </w:r>
      <w:r w:rsidRPr="007D2B8B">
        <w:rPr>
          <w:rFonts w:ascii="楷体_GB2312" w:eastAsia="楷体_GB2312" w:hAnsi="宋体" w:cs="楷体_GB2312"/>
          <w:b/>
          <w:bCs/>
          <w:sz w:val="32"/>
          <w:szCs w:val="32"/>
        </w:rPr>
        <w:t>7</w:t>
      </w:r>
      <w:r w:rsidRPr="007D2B8B">
        <w:rPr>
          <w:rFonts w:ascii="楷体_GB2312" w:eastAsia="楷体_GB2312" w:hAnsi="宋体" w:cs="楷体_GB2312" w:hint="eastAsia"/>
          <w:b/>
          <w:bCs/>
          <w:sz w:val="32"/>
          <w:szCs w:val="32"/>
        </w:rPr>
        <w:t>月</w:t>
      </w:r>
      <w:r w:rsidRPr="007D2B8B">
        <w:rPr>
          <w:rFonts w:ascii="楷体_GB2312" w:eastAsia="楷体_GB2312" w:hAnsi="宋体" w:cs="楷体_GB2312"/>
          <w:b/>
          <w:bCs/>
          <w:sz w:val="32"/>
          <w:szCs w:val="32"/>
        </w:rPr>
        <w:t>19</w:t>
      </w:r>
      <w:r w:rsidRPr="007D2B8B">
        <w:rPr>
          <w:rFonts w:ascii="楷体_GB2312" w:eastAsia="楷体_GB2312" w:hAnsi="宋体" w:cs="楷体_GB2312" w:hint="eastAsia"/>
          <w:b/>
          <w:bCs/>
          <w:sz w:val="32"/>
          <w:szCs w:val="32"/>
        </w:rPr>
        <w:t>日）</w:t>
      </w:r>
    </w:p>
    <w:p w:rsidR="000D6F1F" w:rsidRPr="007D2B8B" w:rsidRDefault="000D6F1F" w:rsidP="007D2B8B">
      <w:pPr>
        <w:spacing w:line="600" w:lineRule="exact"/>
        <w:jc w:val="center"/>
        <w:rPr>
          <w:rFonts w:ascii="楷体_GB2312" w:eastAsia="楷体_GB2312" w:hAnsi="仿宋" w:cs="Times New Roman"/>
          <w:b/>
          <w:bCs/>
          <w:sz w:val="32"/>
          <w:szCs w:val="32"/>
        </w:rPr>
      </w:pPr>
    </w:p>
    <w:p w:rsidR="000D6F1F" w:rsidRPr="007D2B8B" w:rsidRDefault="000D6F1F" w:rsidP="007D2B8B">
      <w:pPr>
        <w:spacing w:line="600" w:lineRule="exact"/>
        <w:rPr>
          <w:rFonts w:ascii="仿宋_GB2312" w:eastAsia="仿宋_GB2312" w:hAnsi="仿宋" w:cs="Times New Roman"/>
          <w:b/>
          <w:bCs/>
          <w:sz w:val="32"/>
          <w:szCs w:val="32"/>
        </w:rPr>
      </w:pPr>
      <w:r w:rsidRPr="007D2B8B">
        <w:rPr>
          <w:rFonts w:ascii="仿宋_GB2312" w:eastAsia="仿宋_GB2312" w:hAnsi="仿宋" w:cs="仿宋_GB2312" w:hint="eastAsia"/>
          <w:b/>
          <w:bCs/>
          <w:sz w:val="32"/>
          <w:szCs w:val="32"/>
        </w:rPr>
        <w:t>主任会议：</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仿宋_GB2312" w:eastAsia="仿宋_GB2312" w:hAnsi="仿宋" w:cs="仿宋_GB2312"/>
          <w:b/>
          <w:bCs/>
          <w:sz w:val="32"/>
          <w:szCs w:val="32"/>
        </w:rPr>
        <w:t>2019</w:t>
      </w:r>
      <w:r w:rsidRPr="007D2B8B">
        <w:rPr>
          <w:rFonts w:ascii="仿宋_GB2312" w:eastAsia="仿宋_GB2312" w:hAnsi="仿宋" w:cs="仿宋_GB2312" w:hint="eastAsia"/>
          <w:b/>
          <w:bCs/>
          <w:sz w:val="32"/>
          <w:szCs w:val="32"/>
        </w:rPr>
        <w:t>年</w:t>
      </w:r>
      <w:r w:rsidRPr="007D2B8B">
        <w:rPr>
          <w:rFonts w:ascii="仿宋_GB2312" w:eastAsia="仿宋_GB2312" w:hAnsi="仿宋" w:cs="仿宋_GB2312"/>
          <w:b/>
          <w:bCs/>
          <w:sz w:val="32"/>
          <w:szCs w:val="32"/>
        </w:rPr>
        <w:t>7</w:t>
      </w:r>
      <w:r w:rsidRPr="007D2B8B">
        <w:rPr>
          <w:rFonts w:ascii="仿宋_GB2312" w:eastAsia="仿宋_GB2312" w:hAnsi="仿宋" w:cs="仿宋_GB2312" w:hint="eastAsia"/>
          <w:b/>
          <w:bCs/>
          <w:sz w:val="32"/>
          <w:szCs w:val="32"/>
        </w:rPr>
        <w:t>月</w:t>
      </w:r>
      <w:r w:rsidRPr="007D2B8B">
        <w:rPr>
          <w:rFonts w:ascii="仿宋_GB2312" w:eastAsia="仿宋_GB2312" w:hAnsi="仿宋" w:cs="仿宋_GB2312"/>
          <w:b/>
          <w:bCs/>
          <w:sz w:val="32"/>
          <w:szCs w:val="32"/>
        </w:rPr>
        <w:t>19</w:t>
      </w:r>
      <w:r w:rsidRPr="007D2B8B">
        <w:rPr>
          <w:rFonts w:ascii="仿宋_GB2312" w:eastAsia="仿宋_GB2312" w:hAnsi="仿宋" w:cs="仿宋_GB2312" w:hint="eastAsia"/>
          <w:b/>
          <w:bCs/>
          <w:sz w:val="32"/>
          <w:szCs w:val="32"/>
        </w:rPr>
        <w:t>日，我委收到省人民政府《关于提请审议〈湖南省洞庭湖保护条例（草案）〉的议案》（以下简称条例（草案））。在此之前，我委提前介入，参与条例（草案）的调研、起草、论证和修改工作，并赴常德、益阳等地开展立法调研，听取各方面的意见和建议。</w:t>
      </w:r>
      <w:r w:rsidRPr="007D2B8B">
        <w:rPr>
          <w:rFonts w:ascii="仿宋_GB2312" w:eastAsia="仿宋_GB2312" w:hAnsi="仿宋" w:cs="仿宋_GB2312"/>
          <w:b/>
          <w:bCs/>
          <w:sz w:val="32"/>
          <w:szCs w:val="32"/>
        </w:rPr>
        <w:t>7</w:t>
      </w:r>
      <w:r w:rsidRPr="007D2B8B">
        <w:rPr>
          <w:rFonts w:ascii="仿宋_GB2312" w:eastAsia="仿宋_GB2312" w:hAnsi="仿宋" w:cs="仿宋_GB2312" w:hint="eastAsia"/>
          <w:b/>
          <w:bCs/>
          <w:sz w:val="32"/>
          <w:szCs w:val="32"/>
        </w:rPr>
        <w:t>月</w:t>
      </w:r>
      <w:r w:rsidRPr="007D2B8B">
        <w:rPr>
          <w:rFonts w:ascii="仿宋_GB2312" w:eastAsia="仿宋_GB2312" w:hAnsi="仿宋" w:cs="仿宋_GB2312"/>
          <w:b/>
          <w:bCs/>
          <w:sz w:val="32"/>
          <w:szCs w:val="32"/>
        </w:rPr>
        <w:t>11</w:t>
      </w:r>
      <w:r w:rsidRPr="007D2B8B">
        <w:rPr>
          <w:rFonts w:ascii="仿宋_GB2312" w:eastAsia="仿宋_GB2312" w:hAnsi="仿宋" w:cs="仿宋_GB2312" w:hint="eastAsia"/>
          <w:b/>
          <w:bCs/>
          <w:sz w:val="32"/>
          <w:szCs w:val="32"/>
        </w:rPr>
        <w:t>日，我委召开第</w:t>
      </w:r>
      <w:r w:rsidRPr="007D2B8B">
        <w:rPr>
          <w:rFonts w:ascii="仿宋_GB2312" w:eastAsia="仿宋_GB2312" w:hAnsi="仿宋" w:cs="仿宋_GB2312"/>
          <w:b/>
          <w:bCs/>
          <w:sz w:val="32"/>
          <w:szCs w:val="32"/>
        </w:rPr>
        <w:t>22</w:t>
      </w:r>
      <w:r w:rsidRPr="007D2B8B">
        <w:rPr>
          <w:rFonts w:ascii="仿宋_GB2312" w:eastAsia="仿宋_GB2312" w:hAnsi="仿宋" w:cs="仿宋_GB2312" w:hint="eastAsia"/>
          <w:b/>
          <w:bCs/>
          <w:sz w:val="32"/>
          <w:szCs w:val="32"/>
        </w:rPr>
        <w:t>次全体会议，对条例（草案）进行了审议，现将审议意见报告如下：</w:t>
      </w:r>
    </w:p>
    <w:p w:rsidR="000D6F1F" w:rsidRPr="007D2B8B" w:rsidRDefault="000D6F1F" w:rsidP="007D2B8B">
      <w:pPr>
        <w:spacing w:line="600" w:lineRule="exact"/>
        <w:ind w:firstLineChars="200" w:firstLine="31680"/>
        <w:rPr>
          <w:rFonts w:ascii="仿宋_GB2312" w:eastAsia="仿宋_GB2312" w:hAnsi="Times New Roman" w:cs="Times New Roman"/>
          <w:b/>
          <w:bCs/>
          <w:sz w:val="32"/>
          <w:szCs w:val="32"/>
        </w:rPr>
      </w:pPr>
      <w:r w:rsidRPr="007D2B8B">
        <w:rPr>
          <w:rFonts w:ascii="仿宋_GB2312" w:eastAsia="仿宋_GB2312" w:hAnsi="仿宋" w:cs="仿宋_GB2312" w:hint="eastAsia"/>
          <w:b/>
          <w:bCs/>
          <w:sz w:val="32"/>
          <w:szCs w:val="32"/>
        </w:rPr>
        <w:t>洞庭湖是湖南的母亲湖，是全国第二大淡水湖，是长江重要的生态湖泊。制定洞庭湖保护条例，是贯彻落实习近平生态文明思想和对湖南工作的重要指示批示精神、省委“加强生态环境保护立法，加快制定出台《洞庭湖保护条例》”具体要求的重要举措，也是今年省人大常委会立法计划安排的重点工作。开展洞庭湖保护立法，有利于解决法律制度不健全、管理体制不统一、保护权责不清、执法监督力度不够等问题，为强化保护、管理和科学利用洞庭湖提供有力的法治保障。</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仿宋_GB2312" w:eastAsia="仿宋_GB2312" w:hAnsi="仿宋" w:cs="仿宋_GB2312" w:hint="eastAsia"/>
          <w:b/>
          <w:bCs/>
          <w:sz w:val="32"/>
          <w:szCs w:val="32"/>
        </w:rPr>
        <w:t>我委认为，条例（草案）坚持问题导向，对洞庭湖保护范围、管理体制、执法机制、污染防治、生态保护与修复等问题进行了规范，与国家相关法律法规和政策规定不相抵触，建议提请省十三届人大常委会第十二次会议审议。为进一步完善条例（草案），提出以下修改意见和建议：</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黑体" w:eastAsia="黑体" w:hAnsi="楷体" w:cs="黑体" w:hint="eastAsia"/>
          <w:b/>
          <w:bCs/>
          <w:sz w:val="32"/>
          <w:szCs w:val="32"/>
        </w:rPr>
        <w:t>一、对洞庭湖保护规划的概念予以明确。</w:t>
      </w:r>
      <w:r w:rsidRPr="007D2B8B">
        <w:rPr>
          <w:rFonts w:ascii="仿宋_GB2312" w:eastAsia="仿宋_GB2312" w:hAnsi="仿宋" w:cs="仿宋_GB2312" w:hint="eastAsia"/>
          <w:b/>
          <w:bCs/>
          <w:sz w:val="32"/>
          <w:szCs w:val="32"/>
        </w:rPr>
        <w:t>现涉及洞庭湖的规划较多，有洞庭湖水环境综合治理规划、生态经济区规划，还有国家湿地公园和自然保护区等相关专项规划。条例（草案）在第九条提到“根据洞庭湖保护规划和相关专项规划，制定本行政区内洞庭湖保护具体方案”，但这个“保护规划”是指某一个规划，还是编制一个专门针对洞庭湖保护、治理、利用的完整规划，没有交代清楚。</w:t>
      </w:r>
      <w:bookmarkStart w:id="0" w:name="_GoBack"/>
      <w:bookmarkEnd w:id="0"/>
      <w:r w:rsidRPr="007D2B8B">
        <w:rPr>
          <w:rFonts w:ascii="仿宋_GB2312" w:eastAsia="仿宋_GB2312" w:hAnsi="仿宋" w:cs="仿宋_GB2312" w:hint="eastAsia"/>
          <w:b/>
          <w:bCs/>
          <w:sz w:val="32"/>
          <w:szCs w:val="32"/>
        </w:rPr>
        <w:t>建议进一步予以明确。</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黑体" w:eastAsia="黑体" w:hAnsi="楷体" w:cs="黑体" w:hint="eastAsia"/>
          <w:b/>
          <w:bCs/>
          <w:sz w:val="32"/>
          <w:szCs w:val="32"/>
        </w:rPr>
        <w:t>二、妥善处理洞庭湖保护与洞庭湖流域保护的关系。</w:t>
      </w:r>
      <w:r w:rsidRPr="007D2B8B">
        <w:rPr>
          <w:rFonts w:ascii="仿宋_GB2312" w:eastAsia="仿宋_GB2312" w:hAnsi="仿宋" w:cs="仿宋_GB2312" w:hint="eastAsia"/>
          <w:b/>
          <w:bCs/>
          <w:sz w:val="32"/>
          <w:szCs w:val="32"/>
        </w:rPr>
        <w:t>洞庭湖是调蓄湖泊，除洞庭湖区生产生活污染物的排放影响水质外，从长江和湘资沅澧四水带入的污染物对水质影响很大。洞庭湖的保护是一个系统工程，需统筹推进山水林田湖草系统治理、水里和岸上治理、“一湖四水”联动治理。但条例（草案）第二十四条仅对湘资沅澧的生态流量标准作了规定，建议条例（草案）进一步完善一体化保护和治理机制，特别是明确“四水”入湖水质要求、对上游地区的生态补偿机制等内容。</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黑体" w:eastAsia="黑体" w:hAnsi="楷体" w:cs="黑体" w:hint="eastAsia"/>
          <w:b/>
          <w:bCs/>
          <w:sz w:val="32"/>
          <w:szCs w:val="32"/>
        </w:rPr>
        <w:t>三、合理划分各级政府的保护责任。</w:t>
      </w:r>
      <w:r w:rsidRPr="007D2B8B">
        <w:rPr>
          <w:rFonts w:ascii="仿宋_GB2312" w:eastAsia="仿宋_GB2312" w:hAnsi="仿宋" w:cs="仿宋_GB2312" w:hint="eastAsia"/>
          <w:b/>
          <w:bCs/>
          <w:sz w:val="32"/>
          <w:szCs w:val="32"/>
        </w:rPr>
        <w:t>条例（草案）第二十三条规定，涉及洞庭湖范围的县级以上人民政府应当规划建设河湖连通工程。建议根据工程项目规模大小、是否跨地区跨流域等多方面因素，合理划分各级政府责任，确定治理责任主体，以免超出基层政府承受能力范围，达不到治理和保护效果。</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黑体" w:eastAsia="黑体" w:hAnsi="楷体" w:cs="黑体" w:hint="eastAsia"/>
          <w:b/>
          <w:bCs/>
          <w:sz w:val="32"/>
          <w:szCs w:val="32"/>
        </w:rPr>
        <w:t>四、完善法律责任。</w:t>
      </w:r>
      <w:r w:rsidRPr="007D2B8B">
        <w:rPr>
          <w:rFonts w:ascii="仿宋_GB2312" w:eastAsia="仿宋_GB2312" w:hAnsi="仿宋" w:cs="仿宋_GB2312" w:hint="eastAsia"/>
          <w:b/>
          <w:bCs/>
          <w:sz w:val="32"/>
          <w:szCs w:val="32"/>
        </w:rPr>
        <w:t>条例（草案）有的禁止性条款没有设置法律责任，如第二十二条第一款规定禁止向水体排放、弃置污染物和废弃物；第二十七条第二款规定禁止擅自在洞庭湖引入或者放生有害外来物种，都没有设置对应的法律责任。建议予以完善。</w:t>
      </w:r>
    </w:p>
    <w:p w:rsidR="000D6F1F" w:rsidRPr="007D2B8B" w:rsidRDefault="000D6F1F" w:rsidP="007D2B8B">
      <w:pPr>
        <w:spacing w:line="600" w:lineRule="exact"/>
        <w:ind w:firstLineChars="200" w:firstLine="31680"/>
        <w:rPr>
          <w:rFonts w:ascii="仿宋_GB2312" w:eastAsia="仿宋_GB2312" w:hAnsi="仿宋" w:cs="Times New Roman"/>
          <w:b/>
          <w:bCs/>
          <w:sz w:val="32"/>
          <w:szCs w:val="32"/>
        </w:rPr>
      </w:pPr>
      <w:r w:rsidRPr="007D2B8B">
        <w:rPr>
          <w:rFonts w:ascii="仿宋_GB2312" w:eastAsia="仿宋_GB2312" w:hAnsi="仿宋" w:cs="仿宋_GB2312" w:hint="eastAsia"/>
          <w:b/>
          <w:bCs/>
          <w:sz w:val="32"/>
          <w:szCs w:val="32"/>
        </w:rPr>
        <w:t>以上报告，请予审议。</w:t>
      </w:r>
    </w:p>
    <w:p w:rsidR="000D6F1F" w:rsidRPr="007D2B8B" w:rsidRDefault="000D6F1F" w:rsidP="007D2B8B">
      <w:pPr>
        <w:ind w:firstLineChars="200" w:firstLine="31680"/>
        <w:rPr>
          <w:rFonts w:ascii="仿宋" w:eastAsia="仿宋" w:hAnsi="仿宋" w:cs="Times New Roman"/>
          <w:b/>
          <w:bCs/>
          <w:sz w:val="32"/>
          <w:szCs w:val="32"/>
        </w:rPr>
      </w:pPr>
    </w:p>
    <w:p w:rsidR="000D6F1F" w:rsidRPr="007D2B8B" w:rsidRDefault="000D6F1F" w:rsidP="007D2B8B">
      <w:pPr>
        <w:ind w:firstLineChars="200" w:firstLine="31680"/>
        <w:rPr>
          <w:rFonts w:ascii="仿宋" w:eastAsia="仿宋" w:hAnsi="仿宋" w:cs="Times New Roman"/>
          <w:b/>
          <w:bCs/>
          <w:sz w:val="32"/>
          <w:szCs w:val="32"/>
        </w:rPr>
      </w:pPr>
    </w:p>
    <w:p w:rsidR="000D6F1F" w:rsidRPr="007D2B8B" w:rsidRDefault="000D6F1F" w:rsidP="007D2B8B">
      <w:pPr>
        <w:ind w:firstLineChars="200" w:firstLine="31680"/>
        <w:rPr>
          <w:rFonts w:ascii="仿宋" w:eastAsia="仿宋" w:hAnsi="仿宋" w:cs="Times New Roman"/>
          <w:b/>
          <w:bCs/>
          <w:sz w:val="32"/>
          <w:szCs w:val="32"/>
        </w:rPr>
      </w:pPr>
    </w:p>
    <w:sectPr w:rsidR="000D6F1F" w:rsidRPr="007D2B8B" w:rsidSect="00716E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1F" w:rsidRDefault="000D6F1F" w:rsidP="00025890">
      <w:pPr>
        <w:rPr>
          <w:rFonts w:cs="Times New Roman"/>
        </w:rPr>
      </w:pPr>
      <w:r>
        <w:rPr>
          <w:rFonts w:cs="Times New Roman"/>
        </w:rPr>
        <w:separator/>
      </w:r>
    </w:p>
  </w:endnote>
  <w:endnote w:type="continuationSeparator" w:id="0">
    <w:p w:rsidR="000D6F1F" w:rsidRDefault="000D6F1F" w:rsidP="000258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1F" w:rsidRDefault="000D6F1F" w:rsidP="00406BFC">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D6F1F" w:rsidRDefault="000D6F1F" w:rsidP="007D2B8B">
    <w:pPr>
      <w:pStyle w:val="Footer"/>
      <w:ind w:right="360" w:firstLine="360"/>
      <w:jc w:val="right"/>
      <w:rPr>
        <w:rFonts w:cs="Times New Roman"/>
      </w:rPr>
    </w:pPr>
  </w:p>
  <w:p w:rsidR="000D6F1F" w:rsidRDefault="000D6F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1F" w:rsidRDefault="000D6F1F" w:rsidP="00025890">
      <w:pPr>
        <w:rPr>
          <w:rFonts w:cs="Times New Roman"/>
        </w:rPr>
      </w:pPr>
      <w:r>
        <w:rPr>
          <w:rFonts w:cs="Times New Roman"/>
        </w:rPr>
        <w:separator/>
      </w:r>
    </w:p>
  </w:footnote>
  <w:footnote w:type="continuationSeparator" w:id="0">
    <w:p w:rsidR="000D6F1F" w:rsidRDefault="000D6F1F" w:rsidP="0002589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3A2"/>
    <w:multiLevelType w:val="hybridMultilevel"/>
    <w:tmpl w:val="203E5EC4"/>
    <w:lvl w:ilvl="0" w:tplc="62DE7C8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DB8"/>
    <w:rsid w:val="0001241B"/>
    <w:rsid w:val="00023AC6"/>
    <w:rsid w:val="000255D8"/>
    <w:rsid w:val="00025890"/>
    <w:rsid w:val="00050E39"/>
    <w:rsid w:val="00053E8D"/>
    <w:rsid w:val="00056481"/>
    <w:rsid w:val="000811E3"/>
    <w:rsid w:val="000A3512"/>
    <w:rsid w:val="000B7AD9"/>
    <w:rsid w:val="000B7B4E"/>
    <w:rsid w:val="000D1008"/>
    <w:rsid w:val="000D6F1F"/>
    <w:rsid w:val="000E2623"/>
    <w:rsid w:val="00102B1A"/>
    <w:rsid w:val="00111E2C"/>
    <w:rsid w:val="001265AF"/>
    <w:rsid w:val="001451AD"/>
    <w:rsid w:val="001F0D6A"/>
    <w:rsid w:val="0020251F"/>
    <w:rsid w:val="00213BE5"/>
    <w:rsid w:val="00220F1A"/>
    <w:rsid w:val="00232493"/>
    <w:rsid w:val="00237AA7"/>
    <w:rsid w:val="00293B79"/>
    <w:rsid w:val="002B3B6A"/>
    <w:rsid w:val="002C46E9"/>
    <w:rsid w:val="002E1255"/>
    <w:rsid w:val="002F317A"/>
    <w:rsid w:val="00327FC8"/>
    <w:rsid w:val="00340D8B"/>
    <w:rsid w:val="003952CD"/>
    <w:rsid w:val="003F06AB"/>
    <w:rsid w:val="00403F2A"/>
    <w:rsid w:val="00406BFC"/>
    <w:rsid w:val="00442C73"/>
    <w:rsid w:val="004745DE"/>
    <w:rsid w:val="004859FE"/>
    <w:rsid w:val="004A6378"/>
    <w:rsid w:val="004C23A9"/>
    <w:rsid w:val="004F28F2"/>
    <w:rsid w:val="004F5CF1"/>
    <w:rsid w:val="004F6A55"/>
    <w:rsid w:val="005046B0"/>
    <w:rsid w:val="00553F78"/>
    <w:rsid w:val="00555636"/>
    <w:rsid w:val="00561E48"/>
    <w:rsid w:val="00573C83"/>
    <w:rsid w:val="00582A98"/>
    <w:rsid w:val="005D3464"/>
    <w:rsid w:val="005D7A82"/>
    <w:rsid w:val="0064679A"/>
    <w:rsid w:val="00657A35"/>
    <w:rsid w:val="00670781"/>
    <w:rsid w:val="00682A58"/>
    <w:rsid w:val="00693948"/>
    <w:rsid w:val="006A7050"/>
    <w:rsid w:val="006B7227"/>
    <w:rsid w:val="006B7844"/>
    <w:rsid w:val="006C0283"/>
    <w:rsid w:val="006D305D"/>
    <w:rsid w:val="00716E3D"/>
    <w:rsid w:val="0075310A"/>
    <w:rsid w:val="00766559"/>
    <w:rsid w:val="00767816"/>
    <w:rsid w:val="0077156F"/>
    <w:rsid w:val="00795698"/>
    <w:rsid w:val="007D0182"/>
    <w:rsid w:val="007D2B8B"/>
    <w:rsid w:val="00810D1D"/>
    <w:rsid w:val="00824B94"/>
    <w:rsid w:val="00863411"/>
    <w:rsid w:val="00867A87"/>
    <w:rsid w:val="00871203"/>
    <w:rsid w:val="0089707D"/>
    <w:rsid w:val="008A522E"/>
    <w:rsid w:val="008C1FA8"/>
    <w:rsid w:val="008C3B4A"/>
    <w:rsid w:val="008C4874"/>
    <w:rsid w:val="008D3379"/>
    <w:rsid w:val="008D53C7"/>
    <w:rsid w:val="008E5513"/>
    <w:rsid w:val="00923CC5"/>
    <w:rsid w:val="00956223"/>
    <w:rsid w:val="00964189"/>
    <w:rsid w:val="00983459"/>
    <w:rsid w:val="0098569A"/>
    <w:rsid w:val="009936C7"/>
    <w:rsid w:val="00995DB8"/>
    <w:rsid w:val="009E218F"/>
    <w:rsid w:val="00A27BBF"/>
    <w:rsid w:val="00A27C45"/>
    <w:rsid w:val="00A723DA"/>
    <w:rsid w:val="00A81292"/>
    <w:rsid w:val="00A87538"/>
    <w:rsid w:val="00A87DD9"/>
    <w:rsid w:val="00A93912"/>
    <w:rsid w:val="00AB6E5C"/>
    <w:rsid w:val="00AD57B8"/>
    <w:rsid w:val="00AE3173"/>
    <w:rsid w:val="00B33BE3"/>
    <w:rsid w:val="00B5676E"/>
    <w:rsid w:val="00B62290"/>
    <w:rsid w:val="00B86ABE"/>
    <w:rsid w:val="00B9233A"/>
    <w:rsid w:val="00B9644D"/>
    <w:rsid w:val="00BA3876"/>
    <w:rsid w:val="00BB47E4"/>
    <w:rsid w:val="00BF1366"/>
    <w:rsid w:val="00C3074C"/>
    <w:rsid w:val="00C3085B"/>
    <w:rsid w:val="00C347C0"/>
    <w:rsid w:val="00C40F65"/>
    <w:rsid w:val="00C55AB8"/>
    <w:rsid w:val="00C62810"/>
    <w:rsid w:val="00C64173"/>
    <w:rsid w:val="00C67BB7"/>
    <w:rsid w:val="00CB10E3"/>
    <w:rsid w:val="00CB77C2"/>
    <w:rsid w:val="00CC272A"/>
    <w:rsid w:val="00CC470C"/>
    <w:rsid w:val="00D02650"/>
    <w:rsid w:val="00D5677D"/>
    <w:rsid w:val="00D607DB"/>
    <w:rsid w:val="00D8014F"/>
    <w:rsid w:val="00D90497"/>
    <w:rsid w:val="00D92930"/>
    <w:rsid w:val="00DD13F5"/>
    <w:rsid w:val="00DD39CE"/>
    <w:rsid w:val="00DD4A7A"/>
    <w:rsid w:val="00DD57E6"/>
    <w:rsid w:val="00DE448E"/>
    <w:rsid w:val="00E05CE7"/>
    <w:rsid w:val="00E274B7"/>
    <w:rsid w:val="00E81FE1"/>
    <w:rsid w:val="00EC4DCE"/>
    <w:rsid w:val="00EE6217"/>
    <w:rsid w:val="00F01E63"/>
    <w:rsid w:val="00F04A19"/>
    <w:rsid w:val="00F34817"/>
    <w:rsid w:val="00F63CD8"/>
    <w:rsid w:val="00F8033E"/>
    <w:rsid w:val="00F87CDA"/>
    <w:rsid w:val="00FC3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E3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8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5890"/>
    <w:rPr>
      <w:sz w:val="18"/>
      <w:szCs w:val="18"/>
    </w:rPr>
  </w:style>
  <w:style w:type="paragraph" w:styleId="Footer">
    <w:name w:val="footer"/>
    <w:basedOn w:val="Normal"/>
    <w:link w:val="FooterChar"/>
    <w:uiPriority w:val="99"/>
    <w:rsid w:val="000258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5890"/>
    <w:rPr>
      <w:sz w:val="18"/>
      <w:szCs w:val="18"/>
    </w:rPr>
  </w:style>
  <w:style w:type="paragraph" w:styleId="ListParagraph">
    <w:name w:val="List Paragraph"/>
    <w:basedOn w:val="Normal"/>
    <w:uiPriority w:val="99"/>
    <w:qFormat/>
    <w:rsid w:val="00D8014F"/>
    <w:pPr>
      <w:ind w:firstLineChars="200" w:firstLine="420"/>
    </w:pPr>
  </w:style>
  <w:style w:type="character" w:styleId="Emphasis">
    <w:name w:val="Emphasis"/>
    <w:basedOn w:val="DefaultParagraphFont"/>
    <w:uiPriority w:val="99"/>
    <w:qFormat/>
    <w:rsid w:val="00C3074C"/>
    <w:rPr>
      <w:i/>
      <w:iCs/>
    </w:rPr>
  </w:style>
  <w:style w:type="paragraph" w:styleId="BalloonText">
    <w:name w:val="Balloon Text"/>
    <w:basedOn w:val="Normal"/>
    <w:link w:val="BalloonTextChar"/>
    <w:uiPriority w:val="99"/>
    <w:semiHidden/>
    <w:rsid w:val="00CC470C"/>
    <w:rPr>
      <w:sz w:val="18"/>
      <w:szCs w:val="18"/>
    </w:rPr>
  </w:style>
  <w:style w:type="character" w:customStyle="1" w:styleId="BalloonTextChar">
    <w:name w:val="Balloon Text Char"/>
    <w:basedOn w:val="DefaultParagraphFont"/>
    <w:link w:val="BalloonText"/>
    <w:uiPriority w:val="99"/>
    <w:semiHidden/>
    <w:locked/>
    <w:rsid w:val="00CC470C"/>
    <w:rPr>
      <w:sz w:val="18"/>
      <w:szCs w:val="18"/>
    </w:rPr>
  </w:style>
  <w:style w:type="character" w:styleId="PageNumber">
    <w:name w:val="page number"/>
    <w:basedOn w:val="DefaultParagraphFont"/>
    <w:uiPriority w:val="99"/>
    <w:rsid w:val="007D2B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3</Pages>
  <Words>185</Words>
  <Characters>1061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14</cp:revision>
  <cp:lastPrinted>2019-07-18T01:25:00Z</cp:lastPrinted>
  <dcterms:created xsi:type="dcterms:W3CDTF">2019-07-08T13:01:00Z</dcterms:created>
  <dcterms:modified xsi:type="dcterms:W3CDTF">2019-07-18T09:16:00Z</dcterms:modified>
</cp:coreProperties>
</file>