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8A" w:rsidRDefault="006F4CB9">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关于</w:t>
      </w:r>
      <w:r>
        <w:rPr>
          <w:rFonts w:asciiTheme="majorEastAsia" w:eastAsiaTheme="majorEastAsia" w:hAnsiTheme="majorEastAsia" w:cstheme="majorEastAsia" w:hint="eastAsia"/>
          <w:b/>
          <w:bCs/>
          <w:sz w:val="44"/>
          <w:szCs w:val="44"/>
        </w:rPr>
        <w:t>规范</w:t>
      </w:r>
      <w:r>
        <w:rPr>
          <w:rFonts w:asciiTheme="majorEastAsia" w:eastAsiaTheme="majorEastAsia" w:hAnsiTheme="majorEastAsia" w:cstheme="majorEastAsia" w:hint="eastAsia"/>
          <w:b/>
          <w:bCs/>
          <w:sz w:val="44"/>
          <w:szCs w:val="44"/>
        </w:rPr>
        <w:t>二次供水</w:t>
      </w:r>
      <w:r>
        <w:rPr>
          <w:rFonts w:asciiTheme="majorEastAsia" w:eastAsiaTheme="majorEastAsia" w:hAnsiTheme="majorEastAsia" w:cstheme="majorEastAsia" w:hint="eastAsia"/>
          <w:b/>
          <w:bCs/>
          <w:sz w:val="44"/>
          <w:szCs w:val="44"/>
        </w:rPr>
        <w:t>监管</w:t>
      </w:r>
    </w:p>
    <w:p w:rsidR="001B1A8A" w:rsidRDefault="006F4CB9">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保障居民用水安全</w:t>
      </w:r>
      <w:r>
        <w:rPr>
          <w:rFonts w:asciiTheme="majorEastAsia" w:eastAsiaTheme="majorEastAsia" w:hAnsiTheme="majorEastAsia" w:cstheme="majorEastAsia" w:hint="eastAsia"/>
          <w:b/>
          <w:bCs/>
          <w:sz w:val="44"/>
          <w:szCs w:val="44"/>
        </w:rPr>
        <w:t>的调研报告</w:t>
      </w:r>
    </w:p>
    <w:p w:rsidR="001B1A8A" w:rsidRDefault="006F4CB9">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民革衡阳市委</w:t>
      </w:r>
      <w:r>
        <w:rPr>
          <w:rFonts w:ascii="楷体_GB2312" w:eastAsia="楷体_GB2312" w:hAnsi="楷体_GB2312" w:cs="楷体_GB2312" w:hint="eastAsia"/>
          <w:sz w:val="32"/>
          <w:szCs w:val="32"/>
        </w:rPr>
        <w:t xml:space="preserve">  </w:t>
      </w:r>
      <w:r>
        <w:rPr>
          <w:rFonts w:ascii="楷体_GB2312" w:eastAsia="楷体_GB2312" w:hAnsi="楷体_GB2312" w:cs="楷体_GB2312" w:hint="eastAsia"/>
          <w:sz w:val="32"/>
          <w:szCs w:val="32"/>
        </w:rPr>
        <w:t>民盟衡阳市委</w:t>
      </w:r>
    </w:p>
    <w:p w:rsidR="001B1A8A" w:rsidRDefault="006F4CB9">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2016</w:t>
      </w:r>
      <w:r>
        <w:rPr>
          <w:rFonts w:ascii="楷体_GB2312" w:eastAsia="楷体_GB2312" w:hAnsi="楷体_GB2312" w:cs="楷体_GB2312" w:hint="eastAsia"/>
          <w:sz w:val="32"/>
          <w:szCs w:val="32"/>
        </w:rPr>
        <w:t>年</w:t>
      </w:r>
      <w:r>
        <w:rPr>
          <w:rFonts w:ascii="楷体_GB2312" w:eastAsia="楷体_GB2312" w:hAnsi="楷体_GB2312" w:cs="楷体_GB2312" w:hint="eastAsia"/>
          <w:sz w:val="32"/>
          <w:szCs w:val="32"/>
        </w:rPr>
        <w:t>10</w:t>
      </w:r>
      <w:r>
        <w:rPr>
          <w:rFonts w:ascii="楷体_GB2312" w:eastAsia="楷体_GB2312" w:hAnsi="楷体_GB2312" w:cs="楷体_GB2312" w:hint="eastAsia"/>
          <w:sz w:val="32"/>
          <w:szCs w:val="32"/>
        </w:rPr>
        <w:t>月</w:t>
      </w:r>
    </w:p>
    <w:p w:rsidR="001B1A8A" w:rsidRDefault="001B1A8A">
      <w:pPr>
        <w:rPr>
          <w:rFonts w:ascii="仿宋_GB2312" w:eastAsia="仿宋_GB2312" w:hAnsi="仿宋_GB2312" w:cs="仿宋_GB2312"/>
          <w:sz w:val="32"/>
          <w:szCs w:val="32"/>
        </w:rPr>
      </w:pP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随着我们国家高速发展和城市现代化水平的不断提高，高层建筑数量不断增加，二次供水设施需求量快速增长，供水用户量在城市占比不断上升，如何防止二次供水水质污染，规范二次供水</w:t>
      </w:r>
      <w:r>
        <w:rPr>
          <w:rFonts w:ascii="仿宋_GB2312" w:eastAsia="仿宋_GB2312" w:hAnsi="仿宋_GB2312" w:cs="仿宋_GB2312" w:hint="eastAsia"/>
          <w:sz w:val="32"/>
          <w:szCs w:val="32"/>
        </w:rPr>
        <w:t>监管</w:t>
      </w:r>
      <w:r>
        <w:rPr>
          <w:rFonts w:ascii="仿宋_GB2312" w:eastAsia="仿宋_GB2312" w:hAnsi="仿宋_GB2312" w:cs="仿宋_GB2312" w:hint="eastAsia"/>
          <w:sz w:val="32"/>
          <w:szCs w:val="32"/>
        </w:rPr>
        <w:t>，保障居民用水安全，是目前供水主管部门和供水企业关注的热点问题。衡阳市二次供水用户逐年递增，为保障我市高层居民二次供水安全，民革衡阳市委联合民盟衡阳市委于</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9-10</w:t>
      </w:r>
      <w:r>
        <w:rPr>
          <w:rFonts w:ascii="仿宋_GB2312" w:eastAsia="仿宋_GB2312" w:hAnsi="仿宋_GB2312" w:cs="仿宋_GB2312" w:hint="eastAsia"/>
          <w:sz w:val="32"/>
          <w:szCs w:val="32"/>
        </w:rPr>
        <w:t>月针对部分楼盘（项目）二次供水现状，进行了专项调研，通过</w:t>
      </w:r>
      <w:r>
        <w:rPr>
          <w:rFonts w:ascii="仿宋_GB2312" w:eastAsia="仿宋_GB2312" w:hAnsi="仿宋_GB2312" w:cs="仿宋_GB2312" w:hint="eastAsia"/>
          <w:sz w:val="32"/>
          <w:szCs w:val="32"/>
        </w:rPr>
        <w:t>现场参观考察</w:t>
      </w:r>
      <w:r>
        <w:rPr>
          <w:rFonts w:ascii="仿宋_GB2312" w:eastAsia="仿宋_GB2312" w:hAnsi="仿宋_GB2312" w:cs="仿宋_GB2312" w:hint="eastAsia"/>
          <w:sz w:val="32"/>
          <w:szCs w:val="32"/>
        </w:rPr>
        <w:t>听取情况介绍，与企业代表座谈，形成了《关于规范二次供水监管保障居民用水安全的调研报告》，现将调研工作情况报告如下。</w:t>
      </w:r>
    </w:p>
    <w:p w:rsidR="001B1A8A" w:rsidRDefault="006F4CB9">
      <w:pPr>
        <w:numPr>
          <w:ilvl w:val="0"/>
          <w:numId w:val="1"/>
        </w:numPr>
        <w:ind w:firstLine="640"/>
        <w:rPr>
          <w:rFonts w:ascii="黑体" w:eastAsia="黑体" w:hAnsi="黑体" w:cs="黑体"/>
          <w:sz w:val="32"/>
          <w:szCs w:val="32"/>
        </w:rPr>
      </w:pPr>
      <w:r>
        <w:rPr>
          <w:rFonts w:ascii="黑体" w:eastAsia="黑体" w:hAnsi="黑体" w:cs="黑体" w:hint="eastAsia"/>
          <w:sz w:val="32"/>
          <w:szCs w:val="32"/>
        </w:rPr>
        <w:t>基本情况及主要问题</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目前我市城区共有二次供水单位近</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家，涉及用户</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万多户、人口</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余万，为深入了解我市二次供水的基本情况，调研组随机采集到了我市</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个楼</w:t>
      </w:r>
      <w:r>
        <w:rPr>
          <w:rFonts w:ascii="仿宋_GB2312" w:eastAsia="仿宋_GB2312" w:hAnsi="仿宋_GB2312" w:cs="仿宋_GB2312" w:hint="eastAsia"/>
          <w:sz w:val="32"/>
          <w:szCs w:val="32"/>
        </w:rPr>
        <w:t>盘（项目）的二次供水设施数据。通过调研发现：在供水设施品牌采购上，</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个楼盘（项目）的使用品牌较为分散，达到</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个，其中</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家为无法识别的杂牌；在供水形式上，采用普通变频供水的</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lastRenderedPageBreak/>
        <w:t>家，高地位水箱供水的</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家，变频水箱供水的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家，直抽供水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家，无负压供水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家；在过水面材质的使用上，主要分为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类，其中水泥池</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家，不锈钢材质</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家，普通金属水箱材质</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家。</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个楼盘（项目）使用的这些二次供水设施设备中，绝大部分都存在形式各样的问题。如水池不密封或者敞开</w:t>
      </w:r>
      <w:r>
        <w:rPr>
          <w:rFonts w:ascii="仿宋_GB2312" w:eastAsia="仿宋_GB2312" w:hAnsi="仿宋_GB2312" w:cs="仿宋_GB2312" w:hint="eastAsia"/>
          <w:sz w:val="32"/>
          <w:szCs w:val="32"/>
        </w:rPr>
        <w:t>，存在水面漂浮物、池底沉积物、池壁黏附物未能清理</w:t>
      </w:r>
      <w:r>
        <w:rPr>
          <w:rFonts w:ascii="仿宋_GB2312" w:eastAsia="仿宋_GB2312" w:hAnsi="仿宋_GB2312" w:cs="仿宋_GB2312" w:hint="eastAsia"/>
          <w:sz w:val="32"/>
          <w:szCs w:val="32"/>
        </w:rPr>
        <w:t>；水箱无消毒记录；普</w:t>
      </w:r>
      <w:r>
        <w:rPr>
          <w:rFonts w:ascii="仿宋_GB2312" w:eastAsia="仿宋_GB2312" w:hAnsi="仿宋_GB2312" w:cs="仿宋_GB2312" w:hint="eastAsia"/>
          <w:sz w:val="32"/>
          <w:szCs w:val="32"/>
        </w:rPr>
        <w:t>通金属水箱生锈；管理人员无健康证明；二次供水无卫生许可批件；高峰时供水困难等。只有由市自来水公司建设的两家供水设施泵房管理规范，有巡查记录，设备</w:t>
      </w:r>
      <w:r>
        <w:rPr>
          <w:rFonts w:ascii="仿宋_GB2312" w:eastAsia="仿宋_GB2312" w:hAnsi="仿宋_GB2312" w:cs="仿宋_GB2312" w:hint="eastAsia"/>
          <w:sz w:val="32"/>
          <w:szCs w:val="32"/>
        </w:rPr>
        <w:t>较为</w:t>
      </w:r>
      <w:r>
        <w:rPr>
          <w:rFonts w:ascii="仿宋_GB2312" w:eastAsia="仿宋_GB2312" w:hAnsi="仿宋_GB2312" w:cs="仿宋_GB2312" w:hint="eastAsia"/>
          <w:sz w:val="32"/>
          <w:szCs w:val="32"/>
        </w:rPr>
        <w:t>先进。</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通过对我市二次供水现状的调研分析，我市二次供水主要存在以下问题：</w:t>
      </w:r>
    </w:p>
    <w:p w:rsidR="001B1A8A" w:rsidRDefault="006F4CB9">
      <w:pPr>
        <w:numPr>
          <w:ilvl w:val="0"/>
          <w:numId w:val="2"/>
        </w:num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供水设施</w:t>
      </w:r>
      <w:r>
        <w:rPr>
          <w:rFonts w:ascii="仿宋_GB2312" w:eastAsia="仿宋_GB2312" w:hAnsi="仿宋_GB2312" w:cs="仿宋_GB2312" w:hint="eastAsia"/>
          <w:b/>
          <w:bCs/>
          <w:sz w:val="32"/>
          <w:szCs w:val="32"/>
        </w:rPr>
        <w:t>建设粗糙简陋</w:t>
      </w:r>
      <w:r>
        <w:rPr>
          <w:rFonts w:ascii="仿宋_GB2312" w:eastAsia="仿宋_GB2312" w:hAnsi="仿宋_GB2312" w:cs="仿宋_GB2312" w:hint="eastAsia"/>
          <w:sz w:val="32"/>
          <w:szCs w:val="32"/>
        </w:rPr>
        <w:t>。</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目前我市二次供水设施绝大部分由开发商负责建设，许多开发商为了追求利润最大化，极大地压缩二次供水设备预算成本，采购一些价格低、质量差的二次供水设备，增加了后期使用、管理上的难度。二次供水设施竣工验收后交由物业公司、产权单位自行管理，而许多管理人员缺乏必要的专业知识，导致小区的储水箱</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水池常年未进行清洗消毒或者没有对水箱加盖上锁，出现泥沙堆积，异物进入水箱内，有害藻类滋生的现象；铁箱内铁锈和脱落的防锈漆皮，虫蚁尸体漂浮</w:t>
      </w:r>
      <w:r>
        <w:rPr>
          <w:rFonts w:ascii="仿宋_GB2312" w:eastAsia="仿宋_GB2312" w:hAnsi="仿宋_GB2312" w:cs="仿宋_GB2312" w:hint="eastAsia"/>
          <w:sz w:val="32"/>
          <w:szCs w:val="32"/>
        </w:rPr>
        <w:lastRenderedPageBreak/>
        <w:t>等状况也时常出现，极易引起大规模介水性传染病的爆发；供水设施泵房都没有</w:t>
      </w:r>
      <w:r>
        <w:rPr>
          <w:rFonts w:ascii="仿宋_GB2312" w:eastAsia="仿宋_GB2312" w:hAnsi="仿宋_GB2312" w:cs="仿宋_GB2312" w:hint="eastAsia"/>
          <w:sz w:val="32"/>
          <w:szCs w:val="32"/>
        </w:rPr>
        <w:t>设置</w:t>
      </w:r>
      <w:r>
        <w:rPr>
          <w:rFonts w:ascii="仿宋_GB2312" w:eastAsia="仿宋_GB2312" w:hAnsi="仿宋_GB2312" w:cs="仿宋_GB2312" w:hint="eastAsia"/>
          <w:sz w:val="32"/>
          <w:szCs w:val="32"/>
        </w:rPr>
        <w:t>门禁，</w:t>
      </w:r>
      <w:r>
        <w:rPr>
          <w:rFonts w:ascii="仿宋_GB2312" w:eastAsia="仿宋_GB2312" w:hAnsi="仿宋_GB2312" w:cs="仿宋_GB2312" w:hint="eastAsia"/>
          <w:sz w:val="32"/>
          <w:szCs w:val="32"/>
        </w:rPr>
        <w:t>也</w:t>
      </w:r>
      <w:r>
        <w:rPr>
          <w:rFonts w:ascii="仿宋_GB2312" w:eastAsia="仿宋_GB2312" w:hAnsi="仿宋_GB2312" w:cs="仿宋_GB2312" w:hint="eastAsia"/>
          <w:sz w:val="32"/>
          <w:szCs w:val="32"/>
        </w:rPr>
        <w:t>没有</w:t>
      </w:r>
      <w:r>
        <w:rPr>
          <w:rFonts w:ascii="仿宋_GB2312" w:eastAsia="仿宋_GB2312" w:hAnsi="仿宋_GB2312" w:cs="仿宋_GB2312" w:hint="eastAsia"/>
          <w:sz w:val="32"/>
          <w:szCs w:val="32"/>
        </w:rPr>
        <w:t>采取</w:t>
      </w:r>
      <w:r>
        <w:rPr>
          <w:rFonts w:ascii="仿宋_GB2312" w:eastAsia="仿宋_GB2312" w:hAnsi="仿宋_GB2312" w:cs="仿宋_GB2312" w:hint="eastAsia"/>
          <w:sz w:val="32"/>
          <w:szCs w:val="32"/>
        </w:rPr>
        <w:t>监控</w:t>
      </w:r>
      <w:r>
        <w:rPr>
          <w:rFonts w:ascii="仿宋_GB2312" w:eastAsia="仿宋_GB2312" w:hAnsi="仿宋_GB2312" w:cs="仿宋_GB2312" w:hint="eastAsia"/>
          <w:sz w:val="32"/>
          <w:szCs w:val="32"/>
        </w:rPr>
        <w:t>手段</w:t>
      </w:r>
      <w:r>
        <w:rPr>
          <w:rFonts w:ascii="仿宋_GB2312" w:eastAsia="仿宋_GB2312" w:hAnsi="仿宋_GB2312" w:cs="仿宋_GB2312" w:hint="eastAsia"/>
          <w:sz w:val="32"/>
          <w:szCs w:val="32"/>
        </w:rPr>
        <w:t>，泵房管理存在严重的公共安全治理隐患，群众反映强烈，一旦出现水质污染或恶性投毒事件，将会造成巨大</w:t>
      </w:r>
      <w:r>
        <w:rPr>
          <w:rFonts w:ascii="仿宋_GB2312" w:eastAsia="仿宋_GB2312" w:hAnsi="仿宋_GB2312" w:cs="仿宋_GB2312" w:hint="eastAsia"/>
          <w:sz w:val="32"/>
          <w:szCs w:val="32"/>
        </w:rPr>
        <w:t>不良后果</w:t>
      </w:r>
      <w:r>
        <w:rPr>
          <w:rFonts w:ascii="仿宋_GB2312" w:eastAsia="仿宋_GB2312" w:hAnsi="仿宋_GB2312" w:cs="仿宋_GB2312" w:hint="eastAsia"/>
          <w:sz w:val="32"/>
          <w:szCs w:val="32"/>
        </w:rPr>
        <w:t>。</w:t>
      </w:r>
    </w:p>
    <w:p w:rsidR="001B1A8A" w:rsidRDefault="006F4CB9">
      <w:pPr>
        <w:numPr>
          <w:ilvl w:val="0"/>
          <w:numId w:val="3"/>
        </w:numPr>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水质安全隐患突出。</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一是储水设施清洗监管不到位。按照国家规定，现在运行的二次供水设施，贮水箱</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水池每年需进行至少两次的清洗消毒，但大部分管理者并未严格执行，未建立规范的水箱</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水池清洗周期，单纯的依靠出现水质问题（多为红水、红虫水、异味等）后的应急式清洗，清洗作业人员无相关专业技能，无规范的清洗流程。清洗后的水质情况缺乏检测</w:t>
      </w:r>
      <w:r>
        <w:rPr>
          <w:rFonts w:ascii="仿宋_GB2312" w:eastAsia="仿宋_GB2312" w:hAnsi="仿宋_GB2312" w:cs="仿宋_GB2312" w:hint="eastAsia"/>
          <w:sz w:val="32"/>
          <w:szCs w:val="32"/>
        </w:rPr>
        <w:t>程序和有效</w:t>
      </w:r>
      <w:r>
        <w:rPr>
          <w:rFonts w:ascii="仿宋_GB2312" w:eastAsia="仿宋_GB2312" w:hAnsi="仿宋_GB2312" w:cs="仿宋_GB2312" w:hint="eastAsia"/>
          <w:sz w:val="32"/>
          <w:szCs w:val="32"/>
        </w:rPr>
        <w:t>监督，物业等管理方也没有相关的水质检测技能及意识，造成水质二次污染</w:t>
      </w:r>
      <w:r>
        <w:rPr>
          <w:rFonts w:ascii="仿宋_GB2312" w:eastAsia="仿宋_GB2312" w:hAnsi="仿宋_GB2312" w:cs="仿宋_GB2312" w:hint="eastAsia"/>
          <w:sz w:val="32"/>
          <w:szCs w:val="32"/>
        </w:rPr>
        <w:t>问题频出，严重影响居民生活水平及人身安全。</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水源混杂且共用供水设施。区域内很多楼盘（项目）存在自备水源，从深井或河流中抽水，共用自来水管道和水池水箱，污染供水设施，严重影响水质。同时很多地方存在消防水和生活水共用水池水箱的现象，无法保证水质安全。</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三是供水设施管理维护欠缺。二次供水设备市场品牌繁多，且多为小品牌，技术</w:t>
      </w:r>
      <w:r>
        <w:rPr>
          <w:rFonts w:ascii="仿宋_GB2312" w:eastAsia="仿宋_GB2312" w:hAnsi="仿宋_GB2312" w:cs="仿宋_GB2312" w:hint="eastAsia"/>
          <w:sz w:val="32"/>
          <w:szCs w:val="32"/>
        </w:rPr>
        <w:t>质量</w:t>
      </w:r>
      <w:r>
        <w:rPr>
          <w:rFonts w:ascii="仿宋_GB2312" w:eastAsia="仿宋_GB2312" w:hAnsi="仿宋_GB2312" w:cs="仿宋_GB2312" w:hint="eastAsia"/>
          <w:sz w:val="32"/>
          <w:szCs w:val="32"/>
        </w:rPr>
        <w:t>参差不齐，甚至有三无产品运行，设备厂家也大多没有例行维护巡检。出现问题停水后，只能依靠物业管理维护，故障率高。泵房管理水平低下，无</w:t>
      </w:r>
      <w:r>
        <w:rPr>
          <w:rFonts w:ascii="仿宋_GB2312" w:eastAsia="仿宋_GB2312" w:hAnsi="仿宋_GB2312" w:cs="仿宋_GB2312" w:hint="eastAsia"/>
          <w:sz w:val="32"/>
          <w:szCs w:val="32"/>
        </w:rPr>
        <w:lastRenderedPageBreak/>
        <w:t>专人管理，无管理制度，无设备维护记录，无清洗消毒记录，甚</w:t>
      </w:r>
      <w:r>
        <w:rPr>
          <w:rFonts w:ascii="仿宋_GB2312" w:eastAsia="仿宋_GB2312" w:hAnsi="仿宋_GB2312" w:cs="仿宋_GB2312" w:hint="eastAsia"/>
          <w:sz w:val="32"/>
          <w:szCs w:val="32"/>
        </w:rPr>
        <w:t>至有的贮水池从投入使用就一直没有进行清洗消毒，管理人员无健康证明，严重影响了居民用水安全。</w:t>
      </w:r>
    </w:p>
    <w:p w:rsidR="001B1A8A" w:rsidRDefault="006F4CB9">
      <w:pPr>
        <w:numPr>
          <w:ilvl w:val="0"/>
          <w:numId w:val="3"/>
        </w:numPr>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水价高低悬殊。</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目前我市大部分二次供水居民小区均采用的是总表分表制，供水企业只负责到小区总表，而二次供水的增压、抄表、收费均由物业公司负责。而此次调研发现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由于二次供水设备大部分运行频率较低，</w:t>
      </w:r>
      <w:r>
        <w:rPr>
          <w:rFonts w:ascii="仿宋_GB2312" w:eastAsia="仿宋_GB2312" w:hAnsi="仿宋_GB2312" w:cs="仿宋_GB2312" w:hint="eastAsia"/>
          <w:sz w:val="32"/>
          <w:szCs w:val="32"/>
        </w:rPr>
        <w:t>30-40HZ</w:t>
      </w:r>
      <w:r>
        <w:rPr>
          <w:rFonts w:ascii="仿宋_GB2312" w:eastAsia="仿宋_GB2312" w:hAnsi="仿宋_GB2312" w:cs="仿宋_GB2312" w:hint="eastAsia"/>
          <w:sz w:val="32"/>
          <w:szCs w:val="32"/>
        </w:rPr>
        <w:t>运行占其</w:t>
      </w:r>
      <w:r>
        <w:rPr>
          <w:rFonts w:ascii="仿宋_GB2312" w:eastAsia="仿宋_GB2312" w:hAnsi="仿宋_GB2312" w:cs="仿宋_GB2312" w:hint="eastAsia"/>
          <w:sz w:val="32"/>
          <w:szCs w:val="32"/>
        </w:rPr>
        <w:t>76%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40HZ</w:t>
      </w:r>
      <w:r>
        <w:rPr>
          <w:rFonts w:ascii="仿宋_GB2312" w:eastAsia="仿宋_GB2312" w:hAnsi="仿宋_GB2312" w:cs="仿宋_GB2312" w:hint="eastAsia"/>
          <w:sz w:val="32"/>
          <w:szCs w:val="32"/>
        </w:rPr>
        <w:t>以下占总数近</w:t>
      </w:r>
      <w:r>
        <w:rPr>
          <w:rFonts w:ascii="仿宋_GB2312" w:eastAsia="仿宋_GB2312" w:hAnsi="仿宋_GB2312" w:cs="仿宋_GB2312" w:hint="eastAsia"/>
          <w:sz w:val="32"/>
          <w:szCs w:val="32"/>
        </w:rPr>
        <w:t>94%</w:t>
      </w:r>
      <w:r>
        <w:rPr>
          <w:rFonts w:ascii="仿宋_GB2312" w:eastAsia="仿宋_GB2312" w:hAnsi="仿宋_GB2312" w:cs="仿宋_GB2312" w:hint="eastAsia"/>
          <w:sz w:val="32"/>
          <w:szCs w:val="32"/>
        </w:rPr>
        <w:t>，导致设备运行维护能耗过高。一方面使得部分小区物业反映设备能耗太高无法承受，另一方面高能耗带来的高成本转移到了小区业主身上，水价缺乏物价部门统一合理定价，各小区水价不一，各</w:t>
      </w:r>
      <w:r>
        <w:rPr>
          <w:rFonts w:ascii="仿宋_GB2312" w:eastAsia="仿宋_GB2312" w:hAnsi="仿宋_GB2312" w:cs="仿宋_GB2312" w:hint="eastAsia"/>
          <w:sz w:val="32"/>
          <w:szCs w:val="32"/>
        </w:rPr>
        <w:t>楼层水价差距较大，导致居民难以接受，与物业公司矛盾重重。</w:t>
      </w:r>
    </w:p>
    <w:p w:rsidR="001B1A8A" w:rsidRDefault="006F4CB9">
      <w:pPr>
        <w:numPr>
          <w:ilvl w:val="0"/>
          <w:numId w:val="3"/>
        </w:numPr>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供水方案设计不合理。</w:t>
      </w:r>
    </w:p>
    <w:p w:rsidR="001B1A8A" w:rsidRDefault="006F4CB9">
      <w:pPr>
        <w:rPr>
          <w:rFonts w:ascii="仿宋_GB2312" w:eastAsia="仿宋_GB2312" w:hAnsi="仿宋_GB2312" w:cs="仿宋_GB2312"/>
          <w:color w:val="000000" w:themeColor="text1"/>
          <w:sz w:val="32"/>
          <w:szCs w:val="32"/>
        </w:rPr>
      </w:pPr>
      <w:r>
        <w:rPr>
          <w:rFonts w:ascii="仿宋_GB2312" w:eastAsia="仿宋_GB2312" w:hAnsi="仿宋_GB2312" w:cs="仿宋_GB2312" w:hint="eastAsia"/>
          <w:bCs/>
          <w:sz w:val="32"/>
          <w:szCs w:val="32"/>
        </w:rPr>
        <w:t>卫生、安全、合理的二次供水设计是防止二次供水水质污染的根本措施，然而目前我市各项目的</w:t>
      </w:r>
      <w:r>
        <w:rPr>
          <w:rFonts w:ascii="仿宋_GB2312" w:eastAsia="仿宋_GB2312" w:hAnsi="仿宋_GB2312" w:cs="仿宋_GB2312" w:hint="eastAsia"/>
          <w:sz w:val="32"/>
          <w:szCs w:val="32"/>
        </w:rPr>
        <w:t>二次供水方案设计方式杂乱，很多都脱离市政体系，设施建设质量不高，长期疏于管理，甚至有直接从市政管网抽水</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情况，不符合设计规范要求。</w:t>
      </w:r>
      <w:r>
        <w:rPr>
          <w:rFonts w:ascii="仿宋_GB2312" w:eastAsia="仿宋_GB2312" w:hAnsi="仿宋_GB2312" w:cs="仿宋_GB2312" w:hint="eastAsia"/>
          <w:color w:val="000000" w:themeColor="text1"/>
          <w:sz w:val="32"/>
          <w:szCs w:val="32"/>
        </w:rPr>
        <w:t>并且</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目前二次供水设备均由业主自主采购，许多二次供水设备在使用过程中，出现了高层用户断水或是水压不稳定的问题，造成热水器冷热水不均，极易发生烫伤事件。</w:t>
      </w:r>
    </w:p>
    <w:p w:rsidR="001B1A8A" w:rsidRDefault="006F4CB9">
      <w:pPr>
        <w:numPr>
          <w:ilvl w:val="0"/>
          <w:numId w:val="3"/>
        </w:numPr>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二次供水监管存在不足。</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《中华人民共和国城市供水条例》明令禁止将自建设施供水管网系统与城市公共供水管系统连接，其目的是为了杜绝安全隐患，此次调研却发现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部分项目仍然存在私接管网的现象。根据我国《生活饮用水卫生监督管理办法》规定：供水单位机关报建、改建、扩建的饮用水供水工程项目，应当符合卫生要求，选址和设计审查、竣工验收必须有建设、卫生行政主管部门参加。新建、改建、扩建的城市公共饮用水供水工程项目由建设行政主管部门负责组织选址、设计审查和竣工验收，卫生行政部门参加。而我市近年来新建的二次供水项目缺均未经卫生部门审查验收就投入使用，存</w:t>
      </w:r>
      <w:r>
        <w:rPr>
          <w:rFonts w:ascii="仿宋_GB2312" w:eastAsia="仿宋_GB2312" w:hAnsi="仿宋_GB2312" w:cs="仿宋_GB2312" w:hint="eastAsia"/>
          <w:sz w:val="32"/>
          <w:szCs w:val="32"/>
        </w:rPr>
        <w:t>在先天不足。</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二次供水监管涉及住建、卫计等多部门的协同参与，在实际运作过程中，各部门间缺乏充分的交流和协调，存在部门分割较严重的“多龙治水”现象。</w:t>
      </w:r>
    </w:p>
    <w:p w:rsidR="001B1A8A" w:rsidRDefault="006F4CB9">
      <w:pPr>
        <w:ind w:firstLine="640"/>
        <w:rPr>
          <w:rFonts w:ascii="黑体" w:eastAsia="黑体" w:hAnsi="黑体" w:cs="黑体"/>
          <w:sz w:val="32"/>
          <w:szCs w:val="32"/>
        </w:rPr>
      </w:pPr>
      <w:r>
        <w:rPr>
          <w:rFonts w:ascii="黑体" w:eastAsia="黑体" w:hAnsi="黑体" w:cs="黑体" w:hint="eastAsia"/>
          <w:sz w:val="32"/>
          <w:szCs w:val="32"/>
        </w:rPr>
        <w:t>二、问题分析及成因</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、在规划设计阶段，</w:t>
      </w:r>
      <w:r>
        <w:rPr>
          <w:rFonts w:ascii="仿宋_GB2312" w:eastAsia="仿宋_GB2312" w:hAnsi="仿宋_GB2312" w:cs="仿宋_GB2312" w:hint="eastAsia"/>
          <w:sz w:val="32"/>
          <w:szCs w:val="32"/>
        </w:rPr>
        <w:t>专业的水务企业没有介入规范管理，设计院的设计脱离水务实际管理需求。造成设备的选择没有结合水务资源规划，投入使用之后抢水、停水事故频发，直供区用户用水水压不足。</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、在建设阶段，</w:t>
      </w:r>
      <w:r>
        <w:rPr>
          <w:rFonts w:ascii="仿宋_GB2312" w:eastAsia="仿宋_GB2312" w:hAnsi="仿宋_GB2312" w:cs="仿宋_GB2312" w:hint="eastAsia"/>
          <w:sz w:val="32"/>
          <w:szCs w:val="32"/>
        </w:rPr>
        <w:t>水务企业没有相应的建设标准及管理权限，难以把控二次供水设施质量。造成设备的材质、功能、能耗等不匹配，设备使用寿命短。</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3</w:t>
      </w:r>
      <w:r>
        <w:rPr>
          <w:rFonts w:ascii="仿宋_GB2312" w:eastAsia="仿宋_GB2312" w:hAnsi="仿宋_GB2312" w:cs="仿宋_GB2312" w:hint="eastAsia"/>
          <w:b/>
          <w:bCs/>
          <w:sz w:val="32"/>
          <w:szCs w:val="32"/>
        </w:rPr>
        <w:t>、在运行维护阶段，</w:t>
      </w:r>
      <w:r>
        <w:rPr>
          <w:rFonts w:ascii="仿宋_GB2312" w:eastAsia="仿宋_GB2312" w:hAnsi="仿宋_GB2312" w:cs="仿宋_GB2312" w:hint="eastAsia"/>
          <w:sz w:val="32"/>
          <w:szCs w:val="32"/>
        </w:rPr>
        <w:t>维护管理权</w:t>
      </w:r>
      <w:r>
        <w:rPr>
          <w:rFonts w:ascii="仿宋_GB2312" w:eastAsia="仿宋_GB2312" w:hAnsi="仿宋_GB2312" w:cs="仿宋_GB2312" w:hint="eastAsia"/>
          <w:sz w:val="32"/>
          <w:szCs w:val="32"/>
        </w:rPr>
        <w:t>责不统一，很多小区物业对二次供水没有概念。也不具备管理二次供水设施的专业能力。更没有设置安防管理系统和二次供水设施的清洗维护管理。运行维护阶段故障频出，投诉率高，安全隐患极大。</w:t>
      </w:r>
    </w:p>
    <w:p w:rsidR="001B1A8A" w:rsidRDefault="006F4CB9">
      <w:pPr>
        <w:ind w:firstLine="640"/>
        <w:rPr>
          <w:rFonts w:ascii="黑体" w:eastAsia="黑体" w:hAnsi="黑体" w:cs="黑体"/>
          <w:sz w:val="32"/>
          <w:szCs w:val="32"/>
        </w:rPr>
      </w:pPr>
      <w:r>
        <w:rPr>
          <w:rFonts w:ascii="黑体" w:eastAsia="黑体" w:hAnsi="黑体" w:cs="黑体" w:hint="eastAsia"/>
          <w:sz w:val="32"/>
          <w:szCs w:val="32"/>
        </w:rPr>
        <w:t>三、工作建议</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、出台我市二次供水管理办法。</w:t>
      </w:r>
      <w:r>
        <w:rPr>
          <w:rFonts w:ascii="仿宋_GB2312" w:eastAsia="仿宋_GB2312" w:hAnsi="仿宋_GB2312" w:cs="仿宋_GB2312" w:hint="eastAsia"/>
          <w:sz w:val="32"/>
          <w:szCs w:val="32"/>
        </w:rPr>
        <w:t>建议由市人民政府制定发布《衡阳市二次供水管理办法》，使二次供水市场管理有法有规可依；责成市住建局制定发布“衡阳市二次供水设施建设规划”，把二次供水设备供应、设施建设纳入</w:t>
      </w:r>
      <w:r>
        <w:rPr>
          <w:rFonts w:ascii="仿宋_GB2312" w:eastAsia="仿宋_GB2312" w:hAnsi="仿宋_GB2312" w:cs="仿宋_GB2312" w:hint="eastAsia"/>
          <w:sz w:val="32"/>
          <w:szCs w:val="32"/>
        </w:rPr>
        <w:t>公民建筑</w:t>
      </w:r>
      <w:r>
        <w:rPr>
          <w:rFonts w:ascii="仿宋_GB2312" w:eastAsia="仿宋_GB2312" w:hAnsi="仿宋_GB2312" w:cs="仿宋_GB2312" w:hint="eastAsia"/>
          <w:sz w:val="32"/>
          <w:szCs w:val="32"/>
        </w:rPr>
        <w:t>建设行政审批流程。</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、明确责任、强化管理，实现水价同城同价。</w:t>
      </w:r>
      <w:r>
        <w:rPr>
          <w:rFonts w:ascii="仿宋_GB2312" w:eastAsia="仿宋_GB2312" w:hAnsi="仿宋_GB2312" w:cs="仿宋_GB2312" w:hint="eastAsia"/>
          <w:sz w:val="32"/>
          <w:szCs w:val="32"/>
        </w:rPr>
        <w:t>在楼盘（项目）的二次供水过程中，政府部门必须明确产权</w:t>
      </w:r>
      <w:r>
        <w:rPr>
          <w:rFonts w:ascii="仿宋_GB2312" w:eastAsia="仿宋_GB2312" w:hAnsi="仿宋_GB2312" w:cs="仿宋_GB2312" w:hint="eastAsia"/>
          <w:sz w:val="32"/>
          <w:szCs w:val="32"/>
        </w:rPr>
        <w:t>人、物业管理、供水企业各自的责任。建议由供水企业负责供水设备的运行维护管理，逐步将二次供水划归城市供水企业进行统一的专业规范化管理。物价部门要制定二次供水水价收费标准，让住户</w:t>
      </w:r>
      <w:r>
        <w:rPr>
          <w:rFonts w:ascii="仿宋_GB2312" w:eastAsia="仿宋_GB2312" w:hAnsi="仿宋_GB2312" w:cs="仿宋_GB2312" w:hint="eastAsia"/>
          <w:sz w:val="32"/>
          <w:szCs w:val="32"/>
        </w:rPr>
        <w:t>用水</w:t>
      </w:r>
      <w:r>
        <w:rPr>
          <w:rFonts w:ascii="仿宋_GB2312" w:eastAsia="仿宋_GB2312" w:hAnsi="仿宋_GB2312" w:cs="仿宋_GB2312" w:hint="eastAsia"/>
          <w:sz w:val="32"/>
          <w:szCs w:val="32"/>
        </w:rPr>
        <w:t>实现同城同价，卫生部门要严格按照《生活饮用水卫生监督管理办法》对二次供水项目进行竣工验收，从源头把好水质关。</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、严把质量关，全面排查改造。</w:t>
      </w:r>
      <w:r>
        <w:rPr>
          <w:rFonts w:ascii="仿宋_GB2312" w:eastAsia="仿宋_GB2312" w:hAnsi="仿宋_GB2312" w:cs="仿宋_GB2312" w:hint="eastAsia"/>
          <w:sz w:val="32"/>
          <w:szCs w:val="32"/>
        </w:rPr>
        <w:t>今后新建的二次供水项目，要严格按照湖南省《城市二次供水设施技术规范》建造；对已建、改建的不符合技术、卫生和安全防范要求的二次供水设施要进行全面改造，建议市政府把此项工作列入市</w:t>
      </w:r>
      <w:r>
        <w:rPr>
          <w:rFonts w:ascii="仿宋_GB2312" w:eastAsia="仿宋_GB2312" w:hAnsi="仿宋_GB2312" w:cs="仿宋_GB2312" w:hint="eastAsia"/>
          <w:sz w:val="32"/>
          <w:szCs w:val="32"/>
        </w:rPr>
        <w:lastRenderedPageBreak/>
        <w:t>政府工作目标，并成立</w:t>
      </w:r>
      <w:r>
        <w:rPr>
          <w:rFonts w:ascii="仿宋_GB2312" w:eastAsia="仿宋_GB2312" w:hAnsi="仿宋_GB2312" w:cs="仿宋_GB2312" w:hint="eastAsia"/>
          <w:sz w:val="32"/>
          <w:szCs w:val="32"/>
        </w:rPr>
        <w:t>领导小组，制定详细的项目分批改造计划，多渠道解决资金来源问题，确保改造项目的顺利实施并最终移交供水企业统管，进而实现供水企业抄表到户、计量到户、服务到户。</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、建立二次供水深度管理平台。</w:t>
      </w:r>
      <w:r>
        <w:rPr>
          <w:rFonts w:ascii="仿宋_GB2312" w:eastAsia="仿宋_GB2312" w:hAnsi="仿宋_GB2312" w:cs="仿宋_GB2312" w:hint="eastAsia"/>
          <w:sz w:val="32"/>
          <w:szCs w:val="32"/>
        </w:rPr>
        <w:t>在智慧水务发展趋势下，二次供水智能管理环节相对缺失。借助二次供水深度管理云端平台，更新水质监测监测设备，通过设备、软件共享在</w:t>
      </w:r>
      <w:r>
        <w:rPr>
          <w:rFonts w:ascii="仿宋_GB2312" w:eastAsia="仿宋_GB2312" w:hAnsi="仿宋_GB2312" w:cs="仿宋_GB2312" w:hint="eastAsia"/>
          <w:sz w:val="32"/>
          <w:szCs w:val="32"/>
        </w:rPr>
        <w:t>供水企业</w:t>
      </w:r>
      <w:r>
        <w:rPr>
          <w:rFonts w:ascii="仿宋_GB2312" w:eastAsia="仿宋_GB2312" w:hAnsi="仿宋_GB2312" w:cs="仿宋_GB2312" w:hint="eastAsia"/>
          <w:sz w:val="32"/>
          <w:szCs w:val="32"/>
        </w:rPr>
        <w:t>建立二次供水深度管理平台，实现对全市二次供水环节吨水耗电量、能耗分析、设备寿命监测、远程监控等先进功能，增强监测能力，提高监测覆盖率，规范二次供水管理，保障二次供水安全。</w:t>
      </w:r>
    </w:p>
    <w:p w:rsidR="001B1A8A" w:rsidRDefault="006F4CB9">
      <w:pPr>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5</w:t>
      </w:r>
      <w:r>
        <w:rPr>
          <w:rFonts w:ascii="仿宋_GB2312" w:eastAsia="仿宋_GB2312" w:hAnsi="仿宋_GB2312" w:cs="仿宋_GB2312" w:hint="eastAsia"/>
          <w:b/>
          <w:sz w:val="32"/>
          <w:szCs w:val="32"/>
        </w:rPr>
        <w:t>、重视二次供水安全宣传</w:t>
      </w:r>
      <w:r>
        <w:rPr>
          <w:rFonts w:ascii="仿宋_GB2312" w:eastAsia="仿宋_GB2312" w:hAnsi="仿宋_GB2312" w:cs="仿宋_GB2312" w:hint="eastAsia"/>
          <w:sz w:val="32"/>
          <w:szCs w:val="32"/>
        </w:rPr>
        <w:t>。政府部门应充分利用互联网、衡阳日报、衡阳晚报、广播电视、宣传手册等多种媒介进行生活饮用水安全宣传，发挥新闻媒体的舆论导向作用</w:t>
      </w:r>
      <w:r>
        <w:rPr>
          <w:rFonts w:ascii="仿宋_GB2312" w:eastAsia="仿宋_GB2312" w:hAnsi="仿宋_GB2312" w:cs="仿宋_GB2312" w:hint="eastAsia"/>
          <w:sz w:val="32"/>
          <w:szCs w:val="32"/>
        </w:rPr>
        <w:t>和监督作用</w:t>
      </w:r>
      <w:r>
        <w:rPr>
          <w:rFonts w:ascii="仿宋_GB2312" w:eastAsia="仿宋_GB2312" w:hAnsi="仿宋_GB2312" w:cs="仿宋_GB2312" w:hint="eastAsia"/>
          <w:sz w:val="32"/>
          <w:szCs w:val="32"/>
        </w:rPr>
        <w:t>，营造社会关注重视二次供水安全的氛围，督促各二次供水单位自觉贯彻执行卫生法规，保障居民生活饮用水安全。</w:t>
      </w:r>
    </w:p>
    <w:p w:rsidR="001B1A8A" w:rsidRDefault="001B1A8A">
      <w:pPr>
        <w:ind w:firstLine="640"/>
        <w:rPr>
          <w:rFonts w:ascii="仿宋_GB2312" w:eastAsia="仿宋_GB2312" w:hAnsi="仿宋_GB2312" w:cs="仿宋_GB2312"/>
          <w:sz w:val="32"/>
          <w:szCs w:val="32"/>
        </w:rPr>
      </w:pPr>
    </w:p>
    <w:p w:rsidR="001B1A8A" w:rsidRDefault="001B1A8A">
      <w:pPr>
        <w:ind w:firstLine="640"/>
        <w:rPr>
          <w:rFonts w:ascii="仿宋_GB2312" w:eastAsia="仿宋_GB2312" w:hAnsi="仿宋_GB2312" w:cs="仿宋_GB2312"/>
          <w:sz w:val="32"/>
          <w:szCs w:val="32"/>
        </w:rPr>
      </w:pPr>
    </w:p>
    <w:p w:rsidR="001B1A8A" w:rsidRDefault="001B1A8A">
      <w:pPr>
        <w:ind w:firstLine="640"/>
        <w:rPr>
          <w:rFonts w:ascii="仿宋_GB2312" w:eastAsia="仿宋_GB2312" w:hAnsi="仿宋_GB2312" w:cs="仿宋_GB2312"/>
          <w:sz w:val="32"/>
          <w:szCs w:val="32"/>
        </w:rPr>
      </w:pPr>
    </w:p>
    <w:p w:rsidR="001B1A8A" w:rsidRDefault="001B1A8A">
      <w:pPr>
        <w:ind w:firstLine="640"/>
        <w:rPr>
          <w:rFonts w:ascii="仿宋_GB2312" w:eastAsia="仿宋_GB2312" w:hAnsi="仿宋_GB2312" w:cs="仿宋_GB2312"/>
          <w:sz w:val="32"/>
          <w:szCs w:val="32"/>
        </w:rPr>
      </w:pPr>
    </w:p>
    <w:p w:rsidR="001B1A8A" w:rsidRDefault="006F4CB9">
      <w:pPr>
        <w:jc w:val="center"/>
        <w:rPr>
          <w:rFonts w:ascii="仿宋_GB2312" w:eastAsia="仿宋_GB2312" w:hAnsi="仿宋_GB2312" w:cs="仿宋_GB2312"/>
          <w:sz w:val="32"/>
          <w:szCs w:val="32"/>
        </w:rPr>
      </w:pPr>
      <w:r>
        <w:rPr>
          <w:rFonts w:asciiTheme="minorEastAsia" w:hAnsiTheme="minorEastAsia" w:cstheme="minorEastAsia" w:hint="eastAsia"/>
          <w:b/>
          <w:bCs/>
          <w:sz w:val="44"/>
          <w:szCs w:val="44"/>
        </w:rPr>
        <w:t>调研简况</w:t>
      </w:r>
    </w:p>
    <w:p w:rsidR="001B1A8A" w:rsidRDefault="001B1A8A">
      <w:pPr>
        <w:rPr>
          <w:rFonts w:ascii="仿宋_GB2312" w:eastAsia="仿宋_GB2312" w:hAnsi="仿宋_GB2312" w:cs="仿宋_GB2312"/>
          <w:sz w:val="32"/>
          <w:szCs w:val="32"/>
        </w:rPr>
      </w:pPr>
    </w:p>
    <w:p w:rsidR="001B1A8A" w:rsidRDefault="006F4CB9">
      <w:pPr>
        <w:rPr>
          <w:rFonts w:ascii="仿宋_GB2312" w:eastAsia="仿宋_GB2312" w:hAnsi="仿宋_GB2312" w:cs="仿宋_GB2312"/>
          <w:sz w:val="32"/>
          <w:szCs w:val="32"/>
        </w:rPr>
      </w:pPr>
      <w:r>
        <w:rPr>
          <w:rFonts w:asciiTheme="minorEastAsia" w:hAnsiTheme="minorEastAsia" w:cstheme="minorEastAsia" w:hint="eastAsia"/>
          <w:b/>
          <w:bCs/>
          <w:sz w:val="32"/>
          <w:szCs w:val="32"/>
        </w:rPr>
        <w:t>调研时间：</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9-10</w:t>
      </w:r>
      <w:r>
        <w:rPr>
          <w:rFonts w:ascii="仿宋_GB2312" w:eastAsia="仿宋_GB2312" w:hAnsi="仿宋_GB2312" w:cs="仿宋_GB2312" w:hint="eastAsia"/>
          <w:sz w:val="32"/>
          <w:szCs w:val="32"/>
        </w:rPr>
        <w:t>月</w:t>
      </w:r>
    </w:p>
    <w:p w:rsidR="001B1A8A" w:rsidRDefault="006F4CB9">
      <w:pPr>
        <w:rPr>
          <w:rFonts w:ascii="仿宋_GB2312" w:eastAsia="仿宋_GB2312" w:hAnsi="仿宋_GB2312" w:cs="仿宋_GB2312"/>
          <w:sz w:val="32"/>
          <w:szCs w:val="32"/>
        </w:rPr>
      </w:pPr>
      <w:r>
        <w:rPr>
          <w:rFonts w:asciiTheme="minorEastAsia" w:hAnsiTheme="minorEastAsia" w:cstheme="minorEastAsia" w:hint="eastAsia"/>
          <w:b/>
          <w:bCs/>
          <w:sz w:val="32"/>
          <w:szCs w:val="32"/>
        </w:rPr>
        <w:t>调研对象：</w:t>
      </w:r>
      <w:r>
        <w:rPr>
          <w:rFonts w:ascii="仿宋_GB2312" w:eastAsia="仿宋_GB2312" w:hAnsi="仿宋_GB2312" w:cs="仿宋_GB2312" w:hint="eastAsia"/>
          <w:sz w:val="32"/>
          <w:szCs w:val="32"/>
        </w:rPr>
        <w:t>民革衡阳市委联合民盟衡阳市委于</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9-10</w:t>
      </w:r>
      <w:r>
        <w:rPr>
          <w:rFonts w:ascii="仿宋_GB2312" w:eastAsia="仿宋_GB2312" w:hAnsi="仿宋_GB2312" w:cs="仿宋_GB2312" w:hint="eastAsia"/>
          <w:sz w:val="32"/>
          <w:szCs w:val="32"/>
        </w:rPr>
        <w:t>月针对部分楼盘（项目）二次供水现状，进行了专项调研，听取</w:t>
      </w:r>
      <w:r>
        <w:rPr>
          <w:rFonts w:ascii="仿宋_GB2312" w:eastAsia="仿宋_GB2312" w:hAnsi="仿宋_GB2312" w:cs="仿宋_GB2312" w:hint="eastAsia"/>
          <w:sz w:val="32"/>
          <w:szCs w:val="32"/>
        </w:rPr>
        <w:t>市水务投有关衡阳市</w:t>
      </w:r>
      <w:r>
        <w:rPr>
          <w:rFonts w:ascii="仿宋_GB2312" w:eastAsia="仿宋_GB2312" w:hAnsi="仿宋_GB2312" w:cs="仿宋_GB2312" w:hint="eastAsia"/>
          <w:sz w:val="32"/>
          <w:szCs w:val="32"/>
        </w:rPr>
        <w:t>二次供水现状情况介绍，</w:t>
      </w:r>
      <w:r>
        <w:rPr>
          <w:rFonts w:ascii="仿宋_GB2312" w:eastAsia="仿宋_GB2312" w:hAnsi="仿宋_GB2312" w:cs="仿宋_GB2312" w:hint="eastAsia"/>
          <w:sz w:val="32"/>
          <w:szCs w:val="32"/>
        </w:rPr>
        <w:t>现场参观考察了供水项目，</w:t>
      </w:r>
      <w:r>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房地产、供水</w:t>
      </w:r>
      <w:r>
        <w:rPr>
          <w:rFonts w:ascii="仿宋_GB2312" w:eastAsia="仿宋_GB2312" w:hAnsi="仿宋_GB2312" w:cs="仿宋_GB2312" w:hint="eastAsia"/>
          <w:sz w:val="32"/>
          <w:szCs w:val="32"/>
        </w:rPr>
        <w:t>企业</w:t>
      </w:r>
      <w:r>
        <w:rPr>
          <w:rFonts w:ascii="仿宋_GB2312" w:eastAsia="仿宋_GB2312" w:hAnsi="仿宋_GB2312" w:cs="仿宋_GB2312" w:hint="eastAsia"/>
          <w:sz w:val="32"/>
          <w:szCs w:val="32"/>
        </w:rPr>
        <w:t>代表座谈，形成了</w:t>
      </w:r>
      <w:r>
        <w:rPr>
          <w:rFonts w:ascii="仿宋_GB2312" w:eastAsia="仿宋_GB2312" w:hAnsi="仿宋_GB2312" w:cs="仿宋_GB2312" w:hint="eastAsia"/>
          <w:sz w:val="32"/>
          <w:szCs w:val="32"/>
        </w:rPr>
        <w:t>调研报告</w:t>
      </w:r>
      <w:r>
        <w:rPr>
          <w:rFonts w:ascii="仿宋_GB2312" w:eastAsia="仿宋_GB2312" w:hAnsi="仿宋_GB2312" w:cs="仿宋_GB2312" w:hint="eastAsia"/>
          <w:sz w:val="32"/>
          <w:szCs w:val="32"/>
        </w:rPr>
        <w:t>。</w:t>
      </w:r>
    </w:p>
    <w:p w:rsidR="001B1A8A" w:rsidRDefault="006F4CB9">
      <w:pPr>
        <w:rPr>
          <w:rFonts w:ascii="仿宋_GB2312" w:eastAsia="仿宋_GB2312" w:hAnsi="仿宋_GB2312" w:cs="仿宋_GB2312"/>
          <w:sz w:val="32"/>
          <w:szCs w:val="32"/>
        </w:rPr>
      </w:pPr>
      <w:r>
        <w:rPr>
          <w:rFonts w:asciiTheme="minorEastAsia" w:hAnsiTheme="minorEastAsia" w:cstheme="minorEastAsia" w:hint="eastAsia"/>
          <w:b/>
          <w:bCs/>
          <w:sz w:val="32"/>
          <w:szCs w:val="32"/>
        </w:rPr>
        <w:t>课题组组长：</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谢</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省政协常委、民革衡阳市委主委、市住建局副局长</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谢</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宏</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民盟衡阳市委主委、衡阳市石鼓区副区长</w:t>
      </w:r>
    </w:p>
    <w:p w:rsidR="001B1A8A" w:rsidRDefault="006F4CB9">
      <w:pPr>
        <w:rPr>
          <w:rFonts w:asciiTheme="minorEastAsia" w:hAnsiTheme="minorEastAsia" w:cstheme="minorEastAsia"/>
          <w:b/>
          <w:bCs/>
          <w:sz w:val="32"/>
          <w:szCs w:val="32"/>
        </w:rPr>
      </w:pPr>
      <w:r>
        <w:rPr>
          <w:rFonts w:asciiTheme="minorEastAsia" w:hAnsiTheme="minorEastAsia" w:cstheme="minorEastAsia" w:hint="eastAsia"/>
          <w:b/>
          <w:bCs/>
          <w:sz w:val="32"/>
          <w:szCs w:val="32"/>
        </w:rPr>
        <w:t>课题组副组长：</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郭露璐</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衡阳市人大常委、民革衡阳市委专职副主委</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颜娟华</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民盟衡阳市委专职副主委</w:t>
      </w:r>
    </w:p>
    <w:p w:rsidR="001B1A8A" w:rsidRDefault="006F4CB9">
      <w:pPr>
        <w:rPr>
          <w:rFonts w:asciiTheme="minorEastAsia" w:hAnsiTheme="minorEastAsia" w:cstheme="minorEastAsia"/>
          <w:b/>
          <w:bCs/>
          <w:sz w:val="32"/>
          <w:szCs w:val="32"/>
        </w:rPr>
      </w:pPr>
      <w:r>
        <w:rPr>
          <w:rFonts w:asciiTheme="minorEastAsia" w:hAnsiTheme="minorEastAsia" w:cstheme="minorEastAsia" w:hint="eastAsia"/>
          <w:b/>
          <w:bCs/>
          <w:sz w:val="32"/>
          <w:szCs w:val="32"/>
        </w:rPr>
        <w:t>课题组成员：</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林</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衡阳市政协常委、民革衡阳市委秘书长</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邓石成</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民革衡阳市委办公室科员</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何智明</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民革衡阳市委办公室科员</w:t>
      </w:r>
    </w:p>
    <w:p w:rsidR="001B1A8A" w:rsidRDefault="006F4CB9">
      <w:pPr>
        <w:rPr>
          <w:rFonts w:asciiTheme="minorEastAsia" w:hAnsiTheme="minorEastAsia" w:cstheme="minorEastAsia"/>
          <w:b/>
          <w:bCs/>
          <w:sz w:val="32"/>
          <w:szCs w:val="32"/>
        </w:rPr>
      </w:pPr>
      <w:r>
        <w:rPr>
          <w:rFonts w:asciiTheme="minorEastAsia" w:hAnsiTheme="minorEastAsia" w:cstheme="minorEastAsia" w:hint="eastAsia"/>
          <w:b/>
          <w:bCs/>
          <w:sz w:val="32"/>
          <w:szCs w:val="32"/>
        </w:rPr>
        <w:t>执笔人：</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邓石成</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民革衡阳市委办公室科员</w:t>
      </w:r>
    </w:p>
    <w:p w:rsidR="001B1A8A" w:rsidRDefault="006F4CB9">
      <w:pPr>
        <w:rPr>
          <w:rFonts w:ascii="仿宋_GB2312" w:eastAsia="仿宋_GB2312" w:hAnsi="仿宋_GB2312" w:cs="仿宋_GB2312"/>
          <w:sz w:val="32"/>
          <w:szCs w:val="32"/>
        </w:rPr>
      </w:pPr>
      <w:r>
        <w:rPr>
          <w:rFonts w:ascii="仿宋_GB2312" w:eastAsia="仿宋_GB2312" w:hAnsi="仿宋_GB2312" w:cs="仿宋_GB2312" w:hint="eastAsia"/>
          <w:sz w:val="32"/>
          <w:szCs w:val="32"/>
        </w:rPr>
        <w:t>何智明</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民革衡阳市委办公室科员</w:t>
      </w:r>
      <w:bookmarkStart w:id="0" w:name="_GoBack"/>
      <w:bookmarkEnd w:id="0"/>
    </w:p>
    <w:sectPr w:rsidR="001B1A8A" w:rsidSect="001B1A8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CB9" w:rsidRDefault="006F4CB9" w:rsidP="001B1A8A">
      <w:r>
        <w:separator/>
      </w:r>
    </w:p>
  </w:endnote>
  <w:endnote w:type="continuationSeparator" w:id="1">
    <w:p w:rsidR="006F4CB9" w:rsidRDefault="006F4CB9" w:rsidP="001B1A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auto"/>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8A" w:rsidRDefault="001B1A8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1B1A8A" w:rsidRDefault="001B1A8A">
                <w:pPr>
                  <w:snapToGrid w:val="0"/>
                  <w:rPr>
                    <w:sz w:val="18"/>
                  </w:rPr>
                </w:pPr>
                <w:r>
                  <w:rPr>
                    <w:rFonts w:hint="eastAsia"/>
                    <w:sz w:val="18"/>
                  </w:rPr>
                  <w:fldChar w:fldCharType="begin"/>
                </w:r>
                <w:r w:rsidR="006F4CB9">
                  <w:rPr>
                    <w:rFonts w:hint="eastAsia"/>
                    <w:sz w:val="18"/>
                  </w:rPr>
                  <w:instrText xml:space="preserve"> PAGE  \* MERGEFORMAT </w:instrText>
                </w:r>
                <w:r>
                  <w:rPr>
                    <w:rFonts w:hint="eastAsia"/>
                    <w:sz w:val="18"/>
                  </w:rPr>
                  <w:fldChar w:fldCharType="separate"/>
                </w:r>
                <w:r w:rsidR="009F2306">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CB9" w:rsidRDefault="006F4CB9" w:rsidP="001B1A8A">
      <w:r>
        <w:separator/>
      </w:r>
    </w:p>
  </w:footnote>
  <w:footnote w:type="continuationSeparator" w:id="1">
    <w:p w:rsidR="006F4CB9" w:rsidRDefault="006F4CB9" w:rsidP="001B1A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BF034"/>
    <w:multiLevelType w:val="singleLevel"/>
    <w:tmpl w:val="581BF034"/>
    <w:lvl w:ilvl="0">
      <w:start w:val="1"/>
      <w:numFmt w:val="chineseCounting"/>
      <w:suff w:val="nothing"/>
      <w:lvlText w:val="%1、"/>
      <w:lvlJc w:val="left"/>
    </w:lvl>
  </w:abstractNum>
  <w:abstractNum w:abstractNumId="1">
    <w:nsid w:val="58242C21"/>
    <w:multiLevelType w:val="singleLevel"/>
    <w:tmpl w:val="58242C21"/>
    <w:lvl w:ilvl="0">
      <w:start w:val="1"/>
      <w:numFmt w:val="chineseCounting"/>
      <w:suff w:val="nothing"/>
      <w:lvlText w:val="（%1）"/>
      <w:lvlJc w:val="left"/>
    </w:lvl>
  </w:abstractNum>
  <w:abstractNum w:abstractNumId="2">
    <w:nsid w:val="58242C5A"/>
    <w:multiLevelType w:val="singleLevel"/>
    <w:tmpl w:val="58242C5A"/>
    <w:lvl w:ilvl="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3C8B"/>
    <w:rsid w:val="00097E36"/>
    <w:rsid w:val="000C782A"/>
    <w:rsid w:val="000F6879"/>
    <w:rsid w:val="00127905"/>
    <w:rsid w:val="00163B40"/>
    <w:rsid w:val="00176CE0"/>
    <w:rsid w:val="001B1A8A"/>
    <w:rsid w:val="001B7819"/>
    <w:rsid w:val="00257F47"/>
    <w:rsid w:val="00332E08"/>
    <w:rsid w:val="0047212E"/>
    <w:rsid w:val="004B7FA4"/>
    <w:rsid w:val="00513C85"/>
    <w:rsid w:val="00543EE1"/>
    <w:rsid w:val="005775FE"/>
    <w:rsid w:val="005846BD"/>
    <w:rsid w:val="005C5E92"/>
    <w:rsid w:val="006E73F3"/>
    <w:rsid w:val="006F4CB9"/>
    <w:rsid w:val="0080004D"/>
    <w:rsid w:val="00830D7D"/>
    <w:rsid w:val="0083667E"/>
    <w:rsid w:val="009F2306"/>
    <w:rsid w:val="00A02A56"/>
    <w:rsid w:val="00A076E9"/>
    <w:rsid w:val="00AA2793"/>
    <w:rsid w:val="00BE75E4"/>
    <w:rsid w:val="00C31B90"/>
    <w:rsid w:val="00CD77CF"/>
    <w:rsid w:val="00D877D2"/>
    <w:rsid w:val="00D91E1E"/>
    <w:rsid w:val="00DF6388"/>
    <w:rsid w:val="00E04AD7"/>
    <w:rsid w:val="00E266B9"/>
    <w:rsid w:val="00E53C8B"/>
    <w:rsid w:val="00F27162"/>
    <w:rsid w:val="00F46838"/>
    <w:rsid w:val="00F5739A"/>
    <w:rsid w:val="00F86C80"/>
    <w:rsid w:val="00FA42C8"/>
    <w:rsid w:val="00FB7D2B"/>
    <w:rsid w:val="04A54C94"/>
    <w:rsid w:val="06865B08"/>
    <w:rsid w:val="102502DB"/>
    <w:rsid w:val="1211027B"/>
    <w:rsid w:val="12A2744E"/>
    <w:rsid w:val="17EA13E9"/>
    <w:rsid w:val="19B60304"/>
    <w:rsid w:val="1BD617F0"/>
    <w:rsid w:val="200E374C"/>
    <w:rsid w:val="20470860"/>
    <w:rsid w:val="274C2983"/>
    <w:rsid w:val="2F8122C4"/>
    <w:rsid w:val="36803A2E"/>
    <w:rsid w:val="37E672BF"/>
    <w:rsid w:val="39705308"/>
    <w:rsid w:val="3B04762A"/>
    <w:rsid w:val="3C472BCF"/>
    <w:rsid w:val="412B7FFD"/>
    <w:rsid w:val="42304870"/>
    <w:rsid w:val="4B226DFD"/>
    <w:rsid w:val="4B582188"/>
    <w:rsid w:val="502B3B0F"/>
    <w:rsid w:val="532F23BE"/>
    <w:rsid w:val="541A68BA"/>
    <w:rsid w:val="54364D0D"/>
    <w:rsid w:val="58436BA9"/>
    <w:rsid w:val="59CE6AD1"/>
    <w:rsid w:val="59ED79FE"/>
    <w:rsid w:val="5CA85C44"/>
    <w:rsid w:val="63D7509F"/>
    <w:rsid w:val="64E46FF2"/>
    <w:rsid w:val="66BA250B"/>
    <w:rsid w:val="708143DE"/>
    <w:rsid w:val="73A23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1A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B1A8A"/>
    <w:pPr>
      <w:tabs>
        <w:tab w:val="center" w:pos="4153"/>
        <w:tab w:val="right" w:pos="8306"/>
      </w:tabs>
      <w:snapToGrid w:val="0"/>
      <w:jc w:val="left"/>
    </w:pPr>
    <w:rPr>
      <w:sz w:val="18"/>
    </w:rPr>
  </w:style>
  <w:style w:type="paragraph" w:styleId="a4">
    <w:name w:val="header"/>
    <w:basedOn w:val="a"/>
    <w:qFormat/>
    <w:rsid w:val="001B1A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564</Words>
  <Characters>3219</Characters>
  <Application>Microsoft Office Word</Application>
  <DocSecurity>0</DocSecurity>
  <Lines>26</Lines>
  <Paragraphs>7</Paragraphs>
  <ScaleCrop>false</ScaleCrop>
  <Company>Microsoft</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dcterms:created xsi:type="dcterms:W3CDTF">2016-12-26T07:29:00Z</dcterms:created>
  <dcterms:modified xsi:type="dcterms:W3CDTF">2016-12-26T07:29:00Z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