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2021年度部门整体支出绩效评价基础数据表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056"/>
        <w:gridCol w:w="982"/>
        <w:gridCol w:w="1111"/>
        <w:gridCol w:w="1129"/>
        <w:gridCol w:w="1038"/>
        <w:gridCol w:w="10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79.31%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林地植被恢复费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林业改革发展资金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3、省级专项资金（一个专项一行）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有害生物防治补助资金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</w:t>
            </w:r>
            <w:r>
              <w:rPr>
                <w:rFonts w:hint="eastAsia" w:ascii="Times New Roman" w:hAnsi="Times New Roman" w:eastAsia="仿宋_GB2312" w:cs="Times New Roman"/>
                <w:bCs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="120" w:afterLines="50"/>
        <w:jc w:val="left"/>
        <w:rPr>
          <w:rFonts w:hint="eastAsia" w:ascii="Times New Roman" w:hAnsi="Times New Roman" w:eastAsia="仿宋_GB2312" w:cs="Times New Roman"/>
          <w:sz w:val="2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张琪悦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                    </w:t>
      </w:r>
      <w:r>
        <w:rPr>
          <w:rFonts w:ascii="Times New Roman" w:hAnsi="Times New Roman" w:eastAsia="仿宋_GB2312" w:cs="Times New Roman"/>
          <w:sz w:val="22"/>
        </w:rPr>
        <w:t>单位负责人签字：</w:t>
      </w:r>
    </w:p>
    <w:p>
      <w:pPr>
        <w:widowControl/>
        <w:spacing w:after="120" w:afterLines="50"/>
        <w:jc w:val="left"/>
        <w:rPr>
          <w:rFonts w:ascii="Times New Roman" w:hAnsi="Times New Roman" w:eastAsia="仿宋_GB2312" w:cs="Times New Roman"/>
          <w:sz w:val="22"/>
        </w:rPr>
        <w:sectPr>
          <w:pgSz w:w="11906" w:h="16838"/>
          <w:pgMar w:top="1440" w:right="1800" w:bottom="1118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55651006</w:t>
      </w:r>
      <w:r>
        <w:rPr>
          <w:rFonts w:ascii="Times New Roman" w:hAnsi="Times New Roman" w:eastAsia="仿宋_GB2312" w:cs="Times New Roman"/>
          <w:sz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                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2022年4月20日</w:t>
      </w:r>
    </w:p>
    <w:p>
      <w:pPr>
        <w:widowControl/>
        <w:spacing w:after="120" w:afterLines="50"/>
        <w:jc w:val="left"/>
        <w:rPr>
          <w:rFonts w:ascii="Times New Roman" w:hAnsi="Times New Roman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after="120" w:afterLines="5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widowControl/>
        <w:spacing w:after="120" w:afterLines="50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2021年度部门整体支出绩效自评表</w:t>
      </w:r>
    </w:p>
    <w:tbl>
      <w:tblPr>
        <w:tblStyle w:val="2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953"/>
        <w:gridCol w:w="1256"/>
        <w:gridCol w:w="95"/>
        <w:gridCol w:w="1311"/>
        <w:gridCol w:w="1269"/>
        <w:gridCol w:w="716"/>
        <w:gridCol w:w="881"/>
        <w:gridCol w:w="14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省级预算部门名称</w:t>
            </w:r>
          </w:p>
        </w:tc>
        <w:tc>
          <w:tcPr>
            <w:tcW w:w="89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湖南省韶山管理局园林环卫管理处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算申请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年初预算数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439.22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549.72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525.65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95.42%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549.72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415.65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确保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核心景区国有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森林防火安全，努力增收节支，开源节流，保证单位正常运作。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完善垃圾分类工作，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增添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垃圾分类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宣传设施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，推动全局垃圾分类工作向纵深发展。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确保核心景区国有森林防火安全，努力增收节支，开源节流，保证单位正常运作。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完善垃圾分类工作，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增添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垃圾分类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宣传设施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，推动全局垃圾分类工作向纵深发展。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做好“互联网+全民义务绿化植树活动”的宣传推广工作,扩大韶山核心景区影响力。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垃圾清运车数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垃圾清运车数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2000车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2745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21"/>
              </w:tabs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林地植被恢复面积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防火道清理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病虫害爆发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保洁面积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保洁面积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80000㎡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82500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植被恢复的覆盖率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全年无大面积病虫害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保洁业务支出成本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保洁业务支出成本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82.08万元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保洁收入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总收入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166万元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147.4万元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有无林业传染病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预防水土流失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确保景区持续整洁、维护良好形象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收益群众年投诉次数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有无森林破坏的情况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客户年投诉次数少于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2021年征占林地异地植被恢复、森林管护及重点工作资金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湖南省韶山管理局园林环卫管理处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11"/>
                <w:szCs w:val="1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林地植被恢复面积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植被恢复的覆盖率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459"/>
              </w:tabs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苗木及养护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林肥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预防水土流失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sz w:val="20"/>
          <w:szCs w:val="20"/>
        </w:rPr>
      </w:pPr>
      <w:r>
        <w:rPr>
          <w:rFonts w:ascii="Times New Roman" w:hAnsi="Times New Roman" w:eastAsia="仿宋_GB2312" w:cs="Times New Roman"/>
          <w:sz w:val="20"/>
          <w:szCs w:val="20"/>
        </w:rPr>
        <w:t>备注：一个一级项目支出一张表。鉴于2022年开展省级专项资金三年（2019年-2021年）整体绩效评价，故本次可以不填报该自评表。</w:t>
      </w:r>
    </w:p>
    <w:p>
      <w:pPr>
        <w:rPr>
          <w:rFonts w:ascii="Times New Roman" w:hAnsi="Times New Roman" w:eastAsia="仿宋_GB2312" w:cs="Times New Roman"/>
          <w:szCs w:val="21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林业改革发展资金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湖南省韶山管理局园林环卫管理处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11"/>
                <w:szCs w:val="1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防火道清理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全年无大面积病虫害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459"/>
              </w:tabs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病虫害防治农药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防火道清理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有无林业传染病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有无生态破坏情况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sz w:val="20"/>
          <w:szCs w:val="20"/>
        </w:rPr>
      </w:pPr>
      <w:r>
        <w:rPr>
          <w:rFonts w:ascii="Times New Roman" w:hAnsi="Times New Roman" w:eastAsia="仿宋_GB2312" w:cs="Times New Roman"/>
          <w:sz w:val="20"/>
          <w:szCs w:val="20"/>
        </w:rPr>
        <w:t>备注：一个一级项目支出一张表。鉴于2022年开展省级专项资金三年（2019年-2021年）整体绩效评价，故本次可以不填报该自评表。</w:t>
      </w:r>
    </w:p>
    <w:p>
      <w:pPr>
        <w:rPr>
          <w:rFonts w:ascii="Times New Roman" w:hAnsi="Times New Roman" w:eastAsia="仿宋_GB2312" w:cs="Times New Roman"/>
          <w:szCs w:val="21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pPr>
        <w:rPr>
          <w:rFonts w:ascii="Times New Roman" w:hAnsi="Times New Roman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br w:type="page"/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lang w:val="en-US" w:eastAsia="zh-CN"/>
              </w:rPr>
              <w:t>年省级财政林业有害生物防治补助资金（省直单位）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湖南省韶山管理局园林环卫管理处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11"/>
                <w:szCs w:val="1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病虫害爆发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病虫害危害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全年无大面积病虫害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459"/>
              </w:tabs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病虫害防治农药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有无林业传染病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有无生态破坏情况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sz w:val="20"/>
          <w:szCs w:val="20"/>
        </w:rPr>
      </w:pPr>
      <w:r>
        <w:rPr>
          <w:rFonts w:ascii="Times New Roman" w:hAnsi="Times New Roman" w:eastAsia="仿宋_GB2312" w:cs="Times New Roman"/>
          <w:sz w:val="20"/>
          <w:szCs w:val="20"/>
        </w:rPr>
        <w:t>备注：一个一级项目支出一张表。鉴于2022年开展省级专项资金三年（2019年-2021年）整体绩效评价，故本次可以不填报该自评表。</w:t>
      </w:r>
    </w:p>
    <w:p>
      <w:pPr>
        <w:rPr>
          <w:rFonts w:ascii="Times New Roman" w:hAnsi="Times New Roman" w:eastAsia="仿宋_GB2312" w:cs="Times New Roman"/>
          <w:szCs w:val="21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附件4</w:t>
      </w: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方正小标宋_GBK" w:cs="Times New Roman"/>
          <w:sz w:val="40"/>
          <w:szCs w:val="40"/>
          <w:lang w:eastAsia="zh-CN"/>
        </w:rPr>
      </w:pPr>
      <w:r>
        <w:rPr>
          <w:rFonts w:ascii="Times New Roman" w:hAnsi="Times New Roman" w:eastAsia="方正小标宋_GBK" w:cs="Times New Roman"/>
          <w:sz w:val="40"/>
          <w:szCs w:val="40"/>
        </w:rPr>
        <w:t>2021年度</w:t>
      </w:r>
      <w:r>
        <w:rPr>
          <w:rFonts w:hint="eastAsia" w:ascii="Times New Roman" w:hAnsi="Times New Roman" w:eastAsia="方正小标宋_GBK" w:cs="Times New Roman"/>
          <w:sz w:val="40"/>
          <w:szCs w:val="40"/>
          <w:lang w:eastAsia="zh-CN"/>
        </w:rPr>
        <w:t>湖南省韶山管理局园林环卫管理处</w:t>
      </w:r>
    </w:p>
    <w:p>
      <w:pPr>
        <w:jc w:val="center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ascii="Times New Roman" w:hAnsi="Times New Roman" w:eastAsia="方正小标宋_GBK" w:cs="Times New Roman"/>
          <w:sz w:val="40"/>
          <w:szCs w:val="40"/>
        </w:rPr>
        <w:t>整体支出</w:t>
      </w:r>
    </w:p>
    <w:p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40"/>
          <w:szCs w:val="40"/>
        </w:rPr>
        <w:t>绩效自评报告</w:t>
      </w:r>
    </w:p>
    <w:p>
      <w:pPr>
        <w:jc w:val="center"/>
        <w:rPr>
          <w:rFonts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湖南省韶山管理局园林环卫管理处</w:t>
      </w:r>
    </w:p>
    <w:p>
      <w:pPr>
        <w:spacing w:line="600" w:lineRule="exact"/>
        <w:ind w:firstLine="3200" w:firstLineChars="10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2022</w:t>
      </w:r>
      <w:r>
        <w:rPr>
          <w:rFonts w:ascii="Times New Roman" w:hAnsi="Times New Roman" w:eastAsia="楷体_GB2312" w:cs="Times New Roman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楷体_GB2312" w:cs="Times New Roman"/>
          <w:sz w:val="32"/>
          <w:szCs w:val="32"/>
        </w:rPr>
        <w:t>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楷体_GB2312" w:cs="Times New Roman"/>
          <w:sz w:val="32"/>
          <w:szCs w:val="32"/>
        </w:rPr>
        <w:t>日</w:t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部门（单位）基本情况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根据湘编办函〔2009〕69号和湘编办〔2014〕81号文件，本单位性质为湖南省韶山管理局直属独立核算、财政差额拨款的副处级公益二类事业单位法定代表人：张正山；核定编制29人。年末现有正式职工23人（其中行政管理人员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人、专业技术人员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人、技术工人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人、退休职工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人、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名遗属、临时工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47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宗旨和业务范围：管理保护韶山革命纪念地国有森林资源，绿化美化核心景区环境，管理维护核心景区卫生及其设施设备，对外承接园林工程和花卉摆放管理业务。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机构设置与主要职能：单位下设办公室、园林绿化管理一部、园林绿化管理二部、环境卫生管理部、防火办5个部门。办公室:负责综合协调、党建群团、文秘档案、行政后勤、人事劳资、安全保卫、财务财产管理。园林绿化管理一部：对外承接园林绿化工程和花卉租摆业务。负责核心景区公共园林和业务单位绿化园林除草、修剪、施肥等养护管理。及时清理责任区范围内的枯树死树。园林绿化管理二部：负责业务学习培训，组织园林绿化施工。负责基建工程管理；负责所辖国有风景林和毗邻地区山林病虫害防治技术指导。负责所辖国有风景林的卫生采伐、营林育林工作，配合当地相关职能部门对国有风景林的林政管理工作。环境卫生管理部：负责责任区内的环境卫生清扫和保洁工作。配合领导完成紧急接待任务的突击性环卫清扫工作。防火办：协调、检查、监督各部门的森林防火工作以及设备设施的维护保养和管理工作。掌握好本辖区内森林火险实时动态，及时通报森林火险等级，发布防火信息。负责组建森林扑火突击队伍，组织突击队员进行业务培训。</w:t>
      </w:r>
    </w:p>
    <w:p>
      <w:pPr>
        <w:pStyle w:val="4"/>
        <w:widowControl/>
        <w:spacing w:line="600" w:lineRule="exact"/>
        <w:ind w:firstLine="64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二、一般公共预算支出情况</w:t>
      </w:r>
    </w:p>
    <w:p>
      <w:pPr>
        <w:pStyle w:val="4"/>
        <w:widowControl/>
        <w:spacing w:line="600" w:lineRule="exact"/>
        <w:ind w:firstLine="643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（一）基本支出情况</w:t>
      </w:r>
    </w:p>
    <w:p>
      <w:pPr>
        <w:pStyle w:val="4"/>
        <w:widowControl/>
        <w:spacing w:line="600" w:lineRule="exact"/>
        <w:ind w:firstLine="643"/>
        <w:rPr>
          <w:rFonts w:hint="default" w:ascii="Times New Roman" w:hAnsi="Times New Roman" w:eastAsia="楷体_GB2312" w:cs="Times New Roman"/>
          <w:b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财政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差额拨款补助部分共计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415.65万元，其中基本工资81万元、绩效工资132.65万元、职工基本医疗保险17万元、机关事业单位基本养老保险34万元、其他社会保障缴费4万元、职业年金17万元、住房公积金35万元、其他工资福利支出95万元。</w:t>
      </w:r>
    </w:p>
    <w:p>
      <w:pPr>
        <w:pStyle w:val="4"/>
        <w:widowControl/>
        <w:numPr>
          <w:ilvl w:val="0"/>
          <w:numId w:val="2"/>
        </w:numPr>
        <w:spacing w:line="600" w:lineRule="exact"/>
        <w:ind w:firstLine="643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项目支出情况</w:t>
      </w:r>
    </w:p>
    <w:p>
      <w:pPr>
        <w:pStyle w:val="4"/>
        <w:widowControl/>
        <w:spacing w:line="600" w:lineRule="exact"/>
        <w:ind w:firstLine="643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项目经费收入110万元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，其中为：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21年征占林地异地植被恢复、森林管护及重点工作资金80万元；林业改革发展资金20万元；</w:t>
      </w:r>
    </w:p>
    <w:p>
      <w:pPr>
        <w:pStyle w:val="4"/>
        <w:widowControl/>
        <w:spacing w:line="600" w:lineRule="exact"/>
        <w:ind w:firstLine="643"/>
        <w:rPr>
          <w:rFonts w:hint="default" w:ascii="Times New Roman" w:hAnsi="Times New Roman" w:eastAsia="仿宋" w:cs="Times New Roman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专项资金：2021年省级财政林业有害生物防治补助资金10万元。</w:t>
      </w:r>
    </w:p>
    <w:p>
      <w:pPr>
        <w:widowControl/>
        <w:spacing w:line="600" w:lineRule="exact"/>
        <w:ind w:firstLine="645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三、部门整体支出绩效情况</w:t>
      </w:r>
    </w:p>
    <w:p>
      <w:pPr>
        <w:widowControl/>
        <w:spacing w:line="600" w:lineRule="exact"/>
        <w:ind w:firstLine="645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单位设立的整体绩效目标符合国家法律法规、国民经济和社会发展总体规律，全年支出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525.65万元，占部门总体支出的比重为57.70%，其中415.65万元全部用于人员工资福利支出，110万元专项资金支出用于林地植被恢复及国有山林有害生物防治，确保韶山管理局核心景区林地植被覆盖率及国有山林不破坏、国有资产不流失。</w:t>
      </w:r>
    </w:p>
    <w:p>
      <w:pPr>
        <w:pStyle w:val="4"/>
        <w:widowControl/>
        <w:spacing w:line="600" w:lineRule="exact"/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、存在的问题及原因分析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经营收支偏离预算数比较大，是因单位是差额拨款预算单位，</w:t>
      </w:r>
      <w:r>
        <w:rPr>
          <w:rFonts w:hint="eastAsia" w:ascii="仿宋" w:hAnsi="仿宋" w:eastAsia="仿宋"/>
          <w:sz w:val="32"/>
          <w:szCs w:val="32"/>
          <w:lang w:eastAsia="zh-CN"/>
        </w:rPr>
        <w:t>受疫情反复的影响，</w:t>
      </w:r>
      <w:r>
        <w:rPr>
          <w:rFonts w:hint="eastAsia" w:ascii="仿宋" w:hAnsi="仿宋" w:eastAsia="仿宋"/>
          <w:sz w:val="32"/>
          <w:szCs w:val="32"/>
        </w:rPr>
        <w:t>环卫保洁业务、滴水洞门票收入变数较大，较难精准预算。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五、</w:t>
      </w:r>
      <w:r>
        <w:rPr>
          <w:rFonts w:ascii="Times New Roman" w:hAnsi="Times New Roman" w:eastAsia="黑体" w:cs="Times New Roman"/>
          <w:sz w:val="32"/>
          <w:szCs w:val="32"/>
        </w:rPr>
        <w:t>下一步改进措施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（一）强化预算约束。要牢固树立先有预算后有支出的理念，各项支出预算必须严格按照批复项目、科目和金额执行，不得随意改变内容，严格控制不同预算科目、预算级次。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（二）严控行政管理成本。加强预算管理，严格执行预算和财政制度，不得擅自扩大支出范围，提高支出标准。严格执行新的差旅费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ascii="仿宋" w:hAnsi="仿宋" w:eastAsia="仿宋"/>
          <w:sz w:val="32"/>
          <w:szCs w:val="32"/>
        </w:rPr>
        <w:t>会议费、培训费、等公务接待支出管理规定，切实规范公务消费行为，严格控制并尽量压缩一般性开支。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（三）加强绩效管理。全面推行预算绩效管理，强化支出责任意识，将绩效理念贯穿于预算编制与执行的全过程，确保完成绩效目标，切实提高财政资金使用效益。</w:t>
      </w:r>
    </w:p>
    <w:p>
      <w:pPr>
        <w:widowControl/>
        <w:spacing w:line="600" w:lineRule="exact"/>
        <w:ind w:firstLine="645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ascii="Times New Roman" w:hAnsi="Times New Roman" w:eastAsia="黑体" w:cs="Times New Roman"/>
          <w:sz w:val="32"/>
          <w:szCs w:val="32"/>
        </w:rPr>
        <w:t>、部门整体支出绩效自评结果拟应用和公开情况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绩效自评结果拟应用于202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预算支出指导，严格管控成本，压缩一般性开支，将在</w:t>
      </w:r>
      <w:r>
        <w:rPr>
          <w:rFonts w:hint="eastAsia" w:ascii="仿宋" w:hAnsi="仿宋" w:eastAsia="仿宋"/>
          <w:sz w:val="32"/>
          <w:szCs w:val="32"/>
          <w:lang w:eastAsia="zh-CN"/>
        </w:rPr>
        <w:t>门户网站（http://www.txssw.com/）</w:t>
      </w:r>
      <w:r>
        <w:rPr>
          <w:rFonts w:hint="eastAsia" w:ascii="仿宋" w:hAnsi="仿宋" w:eastAsia="仿宋"/>
          <w:sz w:val="32"/>
          <w:szCs w:val="32"/>
        </w:rPr>
        <w:t>公开。</w:t>
      </w:r>
    </w:p>
    <w:p/>
    <w:p/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湖南省韶山管理局园林环卫管理处</w:t>
      </w:r>
    </w:p>
    <w:p>
      <w:pPr>
        <w:spacing w:line="56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2022年4月20日</w:t>
      </w:r>
      <w:r>
        <w:rPr>
          <w:rFonts w:hint="eastAsia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950C0"/>
    <w:multiLevelType w:val="singleLevel"/>
    <w:tmpl w:val="264950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C33E93"/>
    <w:multiLevelType w:val="singleLevel"/>
    <w:tmpl w:val="7EC33E9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zk3MWM2MWUwOTFiODc5MzliMGU2OTFmYmMxNDgifQ=="/>
  </w:docVars>
  <w:rsids>
    <w:rsidRoot w:val="156E198E"/>
    <w:rsid w:val="0A740413"/>
    <w:rsid w:val="156E198E"/>
    <w:rsid w:val="23FC7EB8"/>
    <w:rsid w:val="36F231E6"/>
    <w:rsid w:val="4AA2555F"/>
    <w:rsid w:val="51E86536"/>
    <w:rsid w:val="5B9B0A9B"/>
    <w:rsid w:val="75510F2C"/>
    <w:rsid w:val="77444FB6"/>
    <w:rsid w:val="7F90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4103</Words>
  <Characters>4556</Characters>
  <Lines>0</Lines>
  <Paragraphs>0</Paragraphs>
  <TotalTime>1</TotalTime>
  <ScaleCrop>false</ScaleCrop>
  <LinksUpToDate>false</LinksUpToDate>
  <CharactersWithSpaces>5449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2022-04-12T03:16:00Z</dcterms:created>
  <dc:creator>Administrator</dc:creator>
  <cp:lastModifiedBy>Administrator</cp:lastModifiedBy>
  <cp:lastPrinted>2022-05-25T03:03:00Z</cp:lastPrinted>
  <dcterms:modified xsi:type="dcterms:W3CDTF">2022-05-26T08:50:20Z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41F97AAC498847DFACF2D7C3D8CB9DCE</vt:lpwstr>
  </property>
</Properties>
</file>