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jc w:val="both"/>
        <w:rPr>
          <w:rFonts w:hint="eastAsia" w:ascii="仿宋" w:hAnsi="仿宋" w:eastAsia="仿宋" w:cs="仿宋"/>
          <w:sz w:val="32"/>
          <w:szCs w:val="32"/>
        </w:rPr>
      </w:pPr>
    </w:p>
    <w:p>
      <w:pPr>
        <w:widowControl w:val="0"/>
        <w:adjustRightInd w:val="0"/>
        <w:snapToGrid w:val="0"/>
        <w:spacing w:line="360" w:lineRule="auto"/>
        <w:jc w:val="center"/>
        <w:rPr>
          <w:rFonts w:hint="eastAsia" w:ascii="黑体" w:hAnsi="黑体" w:eastAsia="黑体" w:cs="黑体"/>
          <w:sz w:val="72"/>
          <w:szCs w:val="72"/>
        </w:rPr>
      </w:pPr>
      <w:r>
        <w:rPr>
          <w:rFonts w:hint="eastAsia" w:ascii="黑体" w:hAnsi="黑体" w:eastAsia="黑体" w:cs="黑体"/>
          <w:sz w:val="72"/>
          <w:szCs w:val="72"/>
        </w:rPr>
        <w:t>乃东区亚堆乡人民政府</w:t>
      </w:r>
    </w:p>
    <w:p>
      <w:pPr>
        <w:widowControl w:val="0"/>
        <w:adjustRightInd w:val="0"/>
        <w:snapToGrid w:val="0"/>
        <w:spacing w:line="360" w:lineRule="auto"/>
        <w:jc w:val="center"/>
        <w:rPr>
          <w:rFonts w:hint="eastAsia" w:ascii="黑体" w:hAnsi="黑体" w:eastAsia="黑体" w:cs="黑体"/>
          <w:sz w:val="72"/>
          <w:szCs w:val="72"/>
        </w:rPr>
      </w:pPr>
      <w:r>
        <w:rPr>
          <w:rFonts w:hint="eastAsia" w:ascii="黑体" w:hAnsi="黑体" w:eastAsia="黑体" w:cs="黑体"/>
          <w:sz w:val="72"/>
          <w:szCs w:val="72"/>
        </w:rPr>
        <w:t>2016年部门决算</w:t>
      </w:r>
    </w:p>
    <w:p>
      <w:pPr>
        <w:widowControl w:val="0"/>
        <w:adjustRightInd w:val="0"/>
        <w:snapToGrid w:val="0"/>
        <w:spacing w:line="360" w:lineRule="auto"/>
        <w:rPr>
          <w:rFonts w:hint="eastAsia" w:ascii="仿宋" w:hAnsi="仿宋" w:eastAsia="仿宋" w:cs="仿宋"/>
          <w:sz w:val="32"/>
          <w:szCs w:val="32"/>
        </w:rPr>
      </w:pPr>
      <w:bookmarkStart w:id="0" w:name="page2"/>
      <w:bookmarkEnd w:id="0"/>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黑体" w:hAnsi="黑体" w:eastAsia="黑体" w:cs="黑体"/>
          <w:sz w:val="21"/>
          <w:szCs w:val="21"/>
        </w:rPr>
      </w:pPr>
    </w:p>
    <w:p>
      <w:pPr>
        <w:widowControl w:val="0"/>
        <w:adjustRightInd w:val="0"/>
        <w:snapToGrid w:val="0"/>
        <w:spacing w:line="360" w:lineRule="auto"/>
        <w:ind w:left="3100"/>
        <w:rPr>
          <w:rFonts w:hint="eastAsia" w:ascii="黑体" w:hAnsi="黑体" w:eastAsia="黑体" w:cs="黑体"/>
          <w:sz w:val="52"/>
          <w:szCs w:val="52"/>
        </w:rPr>
      </w:pPr>
      <w:r>
        <w:rPr>
          <w:rFonts w:hint="eastAsia" w:ascii="黑体" w:hAnsi="黑体" w:eastAsia="黑体" w:cs="黑体"/>
          <w:sz w:val="52"/>
          <w:szCs w:val="52"/>
        </w:rPr>
        <w:t>目 录</w:t>
      </w:r>
    </w:p>
    <w:p>
      <w:pPr>
        <w:widowControl w:val="0"/>
        <w:adjustRightInd w:val="0"/>
        <w:snapToGrid w:val="0"/>
        <w:spacing w:line="360" w:lineRule="auto"/>
        <w:rPr>
          <w:rFonts w:hint="eastAsia" w:ascii="黑体" w:hAnsi="黑体" w:eastAsia="黑体" w:cs="黑体"/>
          <w:sz w:val="21"/>
          <w:szCs w:val="21"/>
        </w:rPr>
      </w:pPr>
    </w:p>
    <w:p>
      <w:pPr>
        <w:widowControl w:val="0"/>
        <w:adjustRightInd w:val="0"/>
        <w:snapToGrid w:val="0"/>
        <w:spacing w:line="360" w:lineRule="auto"/>
        <w:rPr>
          <w:rFonts w:hint="eastAsia" w:ascii="黑体" w:hAnsi="黑体" w:eastAsia="黑体" w:cs="黑体"/>
          <w:sz w:val="44"/>
          <w:szCs w:val="44"/>
        </w:rPr>
      </w:pPr>
      <w:r>
        <w:rPr>
          <w:rFonts w:hint="eastAsia" w:ascii="黑体" w:hAnsi="黑体" w:eastAsia="黑体" w:cs="黑体"/>
          <w:sz w:val="44"/>
          <w:szCs w:val="44"/>
        </w:rPr>
        <w:t>第一部分 乃东区亚堆乡人民政府概况</w:t>
      </w:r>
    </w:p>
    <w:p>
      <w:pPr>
        <w:widowControl w:val="0"/>
        <w:adjustRightInd w:val="0"/>
        <w:snapToGrid w:val="0"/>
        <w:spacing w:line="360" w:lineRule="auto"/>
        <w:ind w:firstLine="720" w:firstLineChars="200"/>
        <w:rPr>
          <w:rFonts w:hint="eastAsia" w:ascii="黑体" w:hAnsi="黑体" w:eastAsia="黑体" w:cs="黑体"/>
          <w:sz w:val="36"/>
          <w:szCs w:val="36"/>
        </w:rPr>
      </w:pPr>
      <w:r>
        <w:rPr>
          <w:rFonts w:hint="eastAsia" w:ascii="黑体" w:hAnsi="黑体" w:eastAsia="黑体" w:cs="黑体"/>
          <w:sz w:val="36"/>
          <w:szCs w:val="36"/>
        </w:rPr>
        <w:t>一、部门预算单位构成</w:t>
      </w:r>
    </w:p>
    <w:p>
      <w:pPr>
        <w:widowControl w:val="0"/>
        <w:adjustRightInd w:val="0"/>
        <w:snapToGrid w:val="0"/>
        <w:spacing w:line="360" w:lineRule="auto"/>
        <w:ind w:firstLine="720" w:firstLineChars="200"/>
        <w:rPr>
          <w:rFonts w:hint="eastAsia" w:ascii="黑体" w:hAnsi="黑体" w:eastAsia="黑体" w:cs="黑体"/>
          <w:sz w:val="36"/>
          <w:szCs w:val="36"/>
        </w:rPr>
      </w:pPr>
      <w:r>
        <w:rPr>
          <w:rFonts w:hint="eastAsia" w:ascii="黑体" w:hAnsi="黑体" w:eastAsia="黑体" w:cs="黑体"/>
          <w:sz w:val="36"/>
          <w:szCs w:val="36"/>
        </w:rPr>
        <w:t>二、部门职责和机构设置</w:t>
      </w:r>
    </w:p>
    <w:p>
      <w:pPr>
        <w:widowControl w:val="0"/>
        <w:adjustRightInd w:val="0"/>
        <w:snapToGrid w:val="0"/>
        <w:spacing w:line="360" w:lineRule="auto"/>
        <w:ind w:left="2200" w:hanging="2200" w:hangingChars="500"/>
        <w:rPr>
          <w:rFonts w:hint="eastAsia" w:ascii="黑体" w:hAnsi="黑体" w:eastAsia="黑体" w:cs="黑体"/>
          <w:sz w:val="44"/>
          <w:szCs w:val="44"/>
        </w:rPr>
      </w:pPr>
      <w:r>
        <w:rPr>
          <w:rFonts w:hint="eastAsia" w:ascii="黑体" w:hAnsi="黑体" w:eastAsia="黑体" w:cs="黑体"/>
          <w:sz w:val="44"/>
          <w:szCs w:val="44"/>
        </w:rPr>
        <w:t>第二部分 乃东区亚堆乡人民政府2016年</w:t>
      </w:r>
    </w:p>
    <w:p>
      <w:pPr>
        <w:widowControl w:val="0"/>
        <w:adjustRightInd w:val="0"/>
        <w:snapToGrid w:val="0"/>
        <w:spacing w:line="360" w:lineRule="auto"/>
        <w:ind w:firstLine="1760" w:firstLineChars="400"/>
        <w:rPr>
          <w:rFonts w:hint="eastAsia" w:ascii="黑体" w:hAnsi="黑体" w:eastAsia="黑体" w:cs="黑体"/>
          <w:sz w:val="44"/>
          <w:szCs w:val="44"/>
        </w:rPr>
      </w:pPr>
      <w:r>
        <w:rPr>
          <w:rFonts w:hint="eastAsia" w:ascii="黑体" w:hAnsi="黑体" w:eastAsia="黑体" w:cs="黑体"/>
          <w:sz w:val="44"/>
          <w:szCs w:val="44"/>
        </w:rPr>
        <w:t>部门决算表</w:t>
      </w:r>
    </w:p>
    <w:p>
      <w:pPr>
        <w:widowControl w:val="0"/>
        <w:numPr>
          <w:ilvl w:val="0"/>
          <w:numId w:val="1"/>
        </w:numPr>
        <w:adjustRightInd w:val="0"/>
        <w:snapToGrid w:val="0"/>
        <w:spacing w:line="360" w:lineRule="auto"/>
        <w:ind w:firstLine="720" w:firstLineChars="200"/>
        <w:rPr>
          <w:rFonts w:hint="eastAsia" w:ascii="黑体" w:hAnsi="黑体" w:eastAsia="黑体" w:cs="黑体"/>
          <w:sz w:val="36"/>
          <w:szCs w:val="36"/>
        </w:rPr>
      </w:pPr>
      <w:r>
        <w:rPr>
          <w:rFonts w:hint="eastAsia" w:ascii="黑体" w:hAnsi="黑体" w:eastAsia="黑体" w:cs="黑体"/>
          <w:sz w:val="36"/>
          <w:szCs w:val="36"/>
        </w:rPr>
        <w:t xml:space="preserve">财政拨款收支总表 </w:t>
      </w:r>
    </w:p>
    <w:p>
      <w:pPr>
        <w:widowControl w:val="0"/>
        <w:adjustRightInd w:val="0"/>
        <w:snapToGrid w:val="0"/>
        <w:spacing w:line="360" w:lineRule="auto"/>
        <w:ind w:firstLine="720" w:firstLineChars="200"/>
        <w:rPr>
          <w:rFonts w:hint="eastAsia" w:ascii="黑体" w:hAnsi="黑体" w:eastAsia="黑体" w:cs="黑体"/>
          <w:sz w:val="36"/>
          <w:szCs w:val="36"/>
        </w:rPr>
      </w:pPr>
      <w:r>
        <w:rPr>
          <w:rFonts w:hint="eastAsia" w:ascii="黑体" w:hAnsi="黑体" w:eastAsia="黑体" w:cs="黑体"/>
          <w:sz w:val="36"/>
          <w:szCs w:val="36"/>
        </w:rPr>
        <w:t>二、一般公共预算支出表</w:t>
      </w:r>
    </w:p>
    <w:p>
      <w:pPr>
        <w:widowControl w:val="0"/>
        <w:numPr>
          <w:ilvl w:val="0"/>
          <w:numId w:val="2"/>
        </w:numPr>
        <w:adjustRightInd w:val="0"/>
        <w:snapToGrid w:val="0"/>
        <w:spacing w:line="360" w:lineRule="auto"/>
        <w:ind w:left="720" w:right="1460"/>
        <w:rPr>
          <w:rFonts w:hint="eastAsia" w:ascii="黑体" w:hAnsi="黑体" w:eastAsia="黑体" w:cs="黑体"/>
          <w:sz w:val="36"/>
          <w:szCs w:val="36"/>
        </w:rPr>
      </w:pPr>
      <w:r>
        <w:rPr>
          <w:rFonts w:hint="eastAsia" w:ascii="黑体" w:hAnsi="黑体" w:eastAsia="黑体" w:cs="黑体"/>
          <w:sz w:val="36"/>
          <w:szCs w:val="36"/>
        </w:rPr>
        <w:t>一般公共预算基本支出表</w:t>
      </w:r>
    </w:p>
    <w:p>
      <w:pPr>
        <w:widowControl w:val="0"/>
        <w:adjustRightInd w:val="0"/>
        <w:snapToGrid w:val="0"/>
        <w:spacing w:line="360" w:lineRule="auto"/>
        <w:rPr>
          <w:rFonts w:hint="eastAsia" w:ascii="黑体" w:hAnsi="黑体" w:eastAsia="黑体" w:cs="黑体"/>
          <w:sz w:val="36"/>
          <w:szCs w:val="36"/>
        </w:rPr>
      </w:pPr>
      <w:r>
        <w:rPr>
          <w:rFonts w:hint="eastAsia" w:ascii="黑体" w:hAnsi="黑体" w:eastAsia="黑体" w:cs="黑体"/>
          <w:sz w:val="36"/>
          <w:szCs w:val="36"/>
        </w:rPr>
        <w:t xml:space="preserve">    四、一般公共预算“三公”经费支出表</w:t>
      </w:r>
    </w:p>
    <w:p>
      <w:pPr>
        <w:widowControl w:val="0"/>
        <w:adjustRightInd w:val="0"/>
        <w:snapToGrid w:val="0"/>
        <w:spacing w:line="360" w:lineRule="auto"/>
        <w:ind w:left="720" w:right="1460"/>
        <w:rPr>
          <w:rFonts w:hint="eastAsia" w:ascii="黑体" w:hAnsi="黑体" w:eastAsia="黑体" w:cs="黑体"/>
          <w:sz w:val="36"/>
          <w:szCs w:val="36"/>
        </w:rPr>
      </w:pPr>
      <w:r>
        <w:rPr>
          <w:rFonts w:hint="eastAsia" w:ascii="黑体" w:hAnsi="黑体" w:eastAsia="黑体" w:cs="黑体"/>
          <w:sz w:val="36"/>
          <w:szCs w:val="36"/>
        </w:rPr>
        <w:t>五、政府性基金预算支出表</w:t>
      </w:r>
    </w:p>
    <w:p>
      <w:pPr>
        <w:widowControl w:val="0"/>
        <w:adjustRightInd w:val="0"/>
        <w:snapToGrid w:val="0"/>
        <w:spacing w:line="360" w:lineRule="auto"/>
        <w:ind w:right="1460" w:firstLine="720" w:firstLineChars="200"/>
        <w:rPr>
          <w:rFonts w:hint="eastAsia" w:ascii="黑体" w:hAnsi="黑体" w:eastAsia="黑体" w:cs="黑体"/>
          <w:sz w:val="36"/>
          <w:szCs w:val="36"/>
        </w:rPr>
      </w:pPr>
      <w:r>
        <w:rPr>
          <w:rFonts w:hint="eastAsia" w:ascii="黑体" w:hAnsi="黑体" w:eastAsia="黑体" w:cs="黑体"/>
          <w:sz w:val="36"/>
          <w:szCs w:val="36"/>
        </w:rPr>
        <w:t>六、部门收支总表</w:t>
      </w:r>
    </w:p>
    <w:p>
      <w:pPr>
        <w:widowControl w:val="0"/>
        <w:adjustRightInd w:val="0"/>
        <w:snapToGrid w:val="0"/>
        <w:spacing w:line="360" w:lineRule="auto"/>
        <w:ind w:right="1460" w:firstLine="720" w:firstLineChars="200"/>
        <w:rPr>
          <w:rFonts w:hint="eastAsia" w:ascii="黑体" w:hAnsi="黑体" w:eastAsia="黑体" w:cs="黑体"/>
          <w:sz w:val="36"/>
          <w:szCs w:val="36"/>
        </w:rPr>
      </w:pPr>
      <w:r>
        <w:rPr>
          <w:rFonts w:hint="eastAsia" w:ascii="黑体" w:hAnsi="黑体" w:eastAsia="黑体" w:cs="黑体"/>
          <w:sz w:val="36"/>
          <w:szCs w:val="36"/>
        </w:rPr>
        <w:t>七、部门收入总表</w:t>
      </w:r>
    </w:p>
    <w:p>
      <w:pPr>
        <w:widowControl w:val="0"/>
        <w:adjustRightInd w:val="0"/>
        <w:snapToGrid w:val="0"/>
        <w:spacing w:line="360" w:lineRule="auto"/>
        <w:ind w:right="1460" w:firstLine="720" w:firstLineChars="200"/>
        <w:rPr>
          <w:rFonts w:hint="eastAsia" w:ascii="黑体" w:hAnsi="黑体" w:eastAsia="黑体" w:cs="黑体"/>
          <w:sz w:val="36"/>
          <w:szCs w:val="36"/>
        </w:rPr>
      </w:pPr>
      <w:r>
        <w:rPr>
          <w:rFonts w:hint="eastAsia" w:ascii="黑体" w:hAnsi="黑体" w:eastAsia="黑体" w:cs="黑体"/>
          <w:sz w:val="36"/>
          <w:szCs w:val="36"/>
        </w:rPr>
        <w:t>八、部门支出总表</w:t>
      </w:r>
    </w:p>
    <w:p>
      <w:pPr>
        <w:widowControl w:val="0"/>
        <w:adjustRightInd w:val="0"/>
        <w:snapToGrid w:val="0"/>
        <w:spacing w:line="360" w:lineRule="auto"/>
        <w:ind w:left="1320" w:hanging="1320" w:hangingChars="300"/>
        <w:rPr>
          <w:rFonts w:hint="eastAsia" w:ascii="黑体" w:hAnsi="黑体" w:eastAsia="黑体" w:cs="黑体"/>
          <w:sz w:val="44"/>
          <w:szCs w:val="44"/>
        </w:rPr>
      </w:pPr>
      <w:r>
        <w:rPr>
          <w:rFonts w:hint="eastAsia" w:ascii="黑体" w:hAnsi="黑体" w:eastAsia="黑体" w:cs="黑体"/>
          <w:sz w:val="44"/>
          <w:szCs w:val="44"/>
        </w:rPr>
        <w:t>第三部分 乃东区亚堆乡人民政府2016年</w:t>
      </w:r>
    </w:p>
    <w:p>
      <w:pPr>
        <w:widowControl w:val="0"/>
        <w:adjustRightInd w:val="0"/>
        <w:snapToGrid w:val="0"/>
        <w:spacing w:line="360" w:lineRule="auto"/>
        <w:ind w:left="1342" w:leftChars="639" w:firstLine="440" w:firstLineChars="100"/>
        <w:rPr>
          <w:rFonts w:hint="eastAsia" w:ascii="黑体" w:hAnsi="黑体" w:eastAsia="黑体" w:cs="黑体"/>
          <w:sz w:val="44"/>
          <w:szCs w:val="44"/>
        </w:rPr>
      </w:pPr>
      <w:r>
        <w:rPr>
          <w:rFonts w:hint="eastAsia" w:ascii="黑体" w:hAnsi="黑体" w:eastAsia="黑体" w:cs="黑体"/>
          <w:sz w:val="44"/>
          <w:szCs w:val="44"/>
        </w:rPr>
        <w:t>部门决算数据分析</w:t>
      </w:r>
    </w:p>
    <w:p>
      <w:pPr>
        <w:widowControl w:val="0"/>
        <w:adjustRightInd w:val="0"/>
        <w:snapToGrid w:val="0"/>
        <w:spacing w:line="360" w:lineRule="auto"/>
        <w:rPr>
          <w:rFonts w:hint="eastAsia" w:ascii="黑体" w:hAnsi="黑体" w:eastAsia="黑体" w:cs="黑体"/>
          <w:sz w:val="44"/>
          <w:szCs w:val="44"/>
        </w:rPr>
      </w:pPr>
      <w:r>
        <w:rPr>
          <w:rFonts w:hint="eastAsia" w:ascii="黑体" w:hAnsi="黑体" w:eastAsia="黑体" w:cs="黑体"/>
          <w:sz w:val="44"/>
          <w:szCs w:val="44"/>
        </w:rPr>
        <w:t>第四部分 名词解释</w:t>
      </w:r>
    </w:p>
    <w:p>
      <w:pPr>
        <w:widowControl w:val="0"/>
        <w:adjustRightInd w:val="0"/>
        <w:snapToGrid w:val="0"/>
        <w:spacing w:line="360" w:lineRule="auto"/>
        <w:rPr>
          <w:rFonts w:hint="eastAsia" w:ascii="仿宋" w:hAnsi="仿宋" w:eastAsia="仿宋" w:cs="仿宋"/>
          <w:sz w:val="32"/>
          <w:szCs w:val="32"/>
        </w:rPr>
        <w:sectPr>
          <w:pgSz w:w="11900" w:h="16838"/>
          <w:pgMar w:top="1440" w:right="1803" w:bottom="1440" w:left="1803" w:header="0" w:footer="907" w:gutter="0"/>
          <w:cols w:space="720" w:num="1"/>
          <w:docGrid w:linePitch="360" w:charSpace="0"/>
        </w:sect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bookmarkStart w:id="1" w:name="page3"/>
      <w:bookmarkEnd w:id="1"/>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jc w:val="center"/>
        <w:rPr>
          <w:rFonts w:hint="eastAsia" w:ascii="黑体" w:hAnsi="黑体" w:eastAsia="黑体" w:cs="黑体"/>
          <w:sz w:val="52"/>
          <w:szCs w:val="52"/>
        </w:rPr>
      </w:pPr>
      <w:r>
        <w:rPr>
          <w:rFonts w:hint="eastAsia" w:ascii="黑体" w:hAnsi="黑体" w:eastAsia="黑体" w:cs="黑体"/>
          <w:sz w:val="52"/>
          <w:szCs w:val="52"/>
        </w:rPr>
        <w:t>第一部分</w:t>
      </w:r>
    </w:p>
    <w:p>
      <w:pPr>
        <w:widowControl w:val="0"/>
        <w:adjustRightInd w:val="0"/>
        <w:snapToGrid w:val="0"/>
        <w:spacing w:line="360" w:lineRule="auto"/>
        <w:jc w:val="center"/>
        <w:rPr>
          <w:rFonts w:hint="eastAsia" w:ascii="黑体" w:hAnsi="黑体" w:eastAsia="黑体" w:cs="黑体"/>
          <w:sz w:val="52"/>
          <w:szCs w:val="52"/>
        </w:rPr>
      </w:pPr>
      <w:r>
        <w:rPr>
          <w:rFonts w:hint="eastAsia" w:ascii="黑体" w:hAnsi="黑体" w:eastAsia="黑体" w:cs="黑体"/>
          <w:sz w:val="52"/>
          <w:szCs w:val="52"/>
        </w:rPr>
        <w:t>乃东区亚堆乡人民政府概况</w:t>
      </w: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ind w:firstLine="640" w:firstLineChars="200"/>
        <w:rPr>
          <w:rFonts w:hint="eastAsia" w:ascii="黑体" w:hAnsi="黑体" w:eastAsia="黑体" w:cs="黑体"/>
          <w:sz w:val="32"/>
          <w:szCs w:val="32"/>
        </w:rPr>
      </w:pPr>
      <w:bookmarkStart w:id="2" w:name="page4"/>
      <w:bookmarkEnd w:id="2"/>
      <w:r>
        <w:rPr>
          <w:rFonts w:hint="eastAsia" w:ascii="黑体" w:hAnsi="黑体" w:eastAsia="黑体" w:cs="黑体"/>
          <w:sz w:val="32"/>
          <w:szCs w:val="32"/>
        </w:rPr>
        <w:t>一、部门预算单位构成</w:t>
      </w:r>
    </w:p>
    <w:p>
      <w:pPr>
        <w:widowControl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纳入乃东区亚堆乡人民政府2016年部门预算编制范围的单位包括乃东区亚堆乡人民政府一个单位。</w:t>
      </w:r>
    </w:p>
    <w:p>
      <w:pPr>
        <w:widowControl w:val="0"/>
        <w:numPr>
          <w:ilvl w:val="0"/>
          <w:numId w:val="1"/>
        </w:num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主要职责和机构设置</w:t>
      </w:r>
    </w:p>
    <w:p>
      <w:pPr>
        <w:widowControl w:val="0"/>
        <w:adjustRightInd w:val="0"/>
        <w:snapToGrid w:val="0"/>
        <w:spacing w:line="360" w:lineRule="auto"/>
        <w:ind w:left="420" w:leftChars="200" w:firstLine="321" w:firstLineChars="100"/>
        <w:rPr>
          <w:rFonts w:hint="eastAsia" w:ascii="楷体" w:hAnsi="楷体" w:eastAsia="楷体" w:cs="楷体"/>
          <w:b/>
          <w:bCs/>
          <w:sz w:val="32"/>
          <w:szCs w:val="32"/>
        </w:rPr>
      </w:pPr>
      <w:r>
        <w:rPr>
          <w:rFonts w:hint="eastAsia" w:ascii="楷体" w:hAnsi="楷体" w:eastAsia="楷体" w:cs="楷体"/>
          <w:b/>
          <w:bCs/>
          <w:sz w:val="32"/>
          <w:szCs w:val="32"/>
        </w:rPr>
        <w:t>（一）主要职责</w:t>
      </w:r>
    </w:p>
    <w:p>
      <w:pPr>
        <w:widowControl w:val="0"/>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乃东区亚堆乡人民政府</w:t>
      </w:r>
      <w:r>
        <w:rPr>
          <w:rFonts w:hint="eastAsia" w:ascii="仿宋" w:hAnsi="仿宋" w:eastAsia="仿宋" w:cs="仿宋"/>
          <w:sz w:val="32"/>
          <w:szCs w:val="32"/>
        </w:rPr>
        <w:t>主要履行下列职责：</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宣传和执行党的路线、方针、政策，宣传和执行党中央、上级组织和本级组织的决议，充分发挥党员的先锋模范作用。</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在本乡内，保证宪法、法律、行政法规和上级人民代表及其常务委员会决议的遵守和执行。</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执行本级人民代表大会的决议和上级国家行政机关的决定和命令；执行本乡内经济和社会发展计划、预算，管理本乡内的经济、教育、科学、文化、卫生、体育事业和财政、民政、公安、司法行政、计划生育等行政工作。</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对党员进行教育、管理和监督，提高党员素质，增强党性，严格党的组织生活，维护和执行党的纪律，监督党员切实履行义务，保障党员的权利不受侵犯。</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密切联系群众，经常了解群众对党员、党的工作的批评和意见，维护群众的正当权利和利益，做好群众的思想政治工作。</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监督党员干部和其他国家工作人员严格遵守国家的财政经济法规和人事制度。</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根据国家计划，制定本乡内的经济、文化事业和公共事业的建设计划并组织实施。</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承办区委、人大、政府、政协交办的其他事项。</w:t>
      </w:r>
    </w:p>
    <w:p>
      <w:pPr>
        <w:widowControl w:val="0"/>
        <w:adjustRightInd w:val="0"/>
        <w:snapToGrid w:val="0"/>
        <w:spacing w:line="360" w:lineRule="auto"/>
        <w:ind w:firstLine="321" w:firstLineChars="100"/>
        <w:rPr>
          <w:rFonts w:hint="eastAsia" w:ascii="楷体" w:hAnsi="楷体" w:eastAsia="楷体" w:cs="楷体"/>
          <w:b/>
          <w:bCs/>
          <w:sz w:val="32"/>
          <w:szCs w:val="32"/>
        </w:rPr>
      </w:pPr>
      <w:r>
        <w:rPr>
          <w:rFonts w:hint="eastAsia" w:ascii="楷体" w:hAnsi="楷体" w:eastAsia="楷体" w:cs="楷体"/>
          <w:b/>
          <w:bCs/>
          <w:sz w:val="32"/>
          <w:szCs w:val="32"/>
        </w:rPr>
        <w:t>（二）机构设置</w:t>
      </w:r>
    </w:p>
    <w:p>
      <w:pPr>
        <w:widowControl w:val="0"/>
        <w:adjustRightInd w:val="0"/>
        <w:snapToGrid w:val="0"/>
        <w:spacing w:line="360" w:lineRule="auto"/>
        <w:ind w:firstLine="643" w:firstLineChars="200"/>
        <w:jc w:val="both"/>
        <w:rPr>
          <w:rFonts w:ascii="仿宋" w:hAnsi="仿宋" w:eastAsia="仿宋" w:cs="仿宋"/>
          <w:b/>
          <w:bCs/>
          <w:sz w:val="32"/>
          <w:szCs w:val="32"/>
        </w:rPr>
      </w:pPr>
      <w:r>
        <w:rPr>
          <w:rFonts w:hint="eastAsia" w:ascii="仿宋" w:hAnsi="仿宋" w:eastAsia="仿宋" w:cs="仿宋"/>
          <w:b/>
          <w:bCs/>
          <w:sz w:val="32"/>
          <w:szCs w:val="32"/>
        </w:rPr>
        <w:t>内设机构：</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根据上述职责，乃东区亚堆乡人民政府设5个内设机构，不定级别：</w:t>
      </w:r>
    </w:p>
    <w:p>
      <w:pPr>
        <w:widowControl w:val="0"/>
        <w:numPr>
          <w:ilvl w:val="0"/>
          <w:numId w:val="4"/>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党政综合办公室</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党委、人大、政府和群团组织的各项日常工作和党的基层组织建设、经济社会事业发展规划制定，纪检监察、组织人事、宣传、统一战线、精神文明建设、工青妇及党内统计等工作。协调社会管理综合治理相关工作和与经济社会发展相关工作，负责政务信息、经济社会发展相关统计、政务监督等工作。内部设置人大、政协、纪检、组织、宣传、统战、文秘、党内统计、经济发展规划、社会事业发展规划、政务信息、政务监督、政务统计、文秘等岗位。按照有关规定配备团委书记和妇联主任。</w:t>
      </w:r>
    </w:p>
    <w:p>
      <w:pPr>
        <w:widowControl w:val="0"/>
        <w:numPr>
          <w:ilvl w:val="0"/>
          <w:numId w:val="4"/>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经济发展办公室</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主要职责：主要承担经济结构调整、基础设施建设、财经、扶贫开发、防汛抗旱救灾、动植物防疫、安全生产等工作。内部设置经济产业发展、资源管理等岗位。</w:t>
      </w:r>
    </w:p>
    <w:p>
      <w:pPr>
        <w:widowControl w:val="0"/>
        <w:numPr>
          <w:ilvl w:val="0"/>
          <w:numId w:val="4"/>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社会事务办公室</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主要职责：主要承担文化卫生、教育体育、科学技术、优生优育、村镇规划建设、民政事务、残疾人保障、劳动就业和社会保障、环境保护等工作。内部设置科教文卫、民政、社保服务等岗位。</w:t>
      </w:r>
    </w:p>
    <w:p>
      <w:pPr>
        <w:widowControl w:val="0"/>
        <w:numPr>
          <w:ilvl w:val="0"/>
          <w:numId w:val="4"/>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维护稳定和综合治理办公室</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人民武装、社会管理综合治理、信访、矛盾纠纷排查调处、民族宗教、寺庙管理、安置帮教、群防群治组织建设等工作。协调与维护稳定相关工作。内部设置人民武装、综合治理，民族宗教、信访调解员等岗位。</w:t>
      </w:r>
    </w:p>
    <w:p>
      <w:pPr>
        <w:widowControl w:val="0"/>
        <w:numPr>
          <w:ilvl w:val="0"/>
          <w:numId w:val="4"/>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财政所</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主要职责：主要承担乡镇财务预算的制定和财务日常管理工作，监督管理村居委员会财务收支和村财公开事宜。内部设置预决算、社保、农业、会计、出纳等岗位。</w:t>
      </w:r>
    </w:p>
    <w:p>
      <w:pPr>
        <w:widowControl w:val="0"/>
        <w:adjustRightInd w:val="0"/>
        <w:snapToGrid w:val="0"/>
        <w:spacing w:line="360" w:lineRule="auto"/>
        <w:ind w:firstLine="643" w:firstLineChars="200"/>
        <w:jc w:val="both"/>
        <w:rPr>
          <w:rFonts w:ascii="仿宋" w:hAnsi="仿宋" w:eastAsia="仿宋" w:cs="仿宋"/>
          <w:b/>
          <w:bCs/>
          <w:sz w:val="32"/>
          <w:szCs w:val="32"/>
        </w:rPr>
      </w:pPr>
      <w:r>
        <w:rPr>
          <w:rFonts w:hint="eastAsia" w:ascii="仿宋" w:hAnsi="仿宋" w:eastAsia="仿宋" w:cs="仿宋"/>
          <w:b/>
          <w:bCs/>
          <w:sz w:val="32"/>
          <w:szCs w:val="32"/>
        </w:rPr>
        <w:t>事业机构：</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乃东区亚堆乡人民政府设4个事业机构，副科级：</w:t>
      </w:r>
    </w:p>
    <w:p>
      <w:pPr>
        <w:widowControl w:val="0"/>
        <w:numPr>
          <w:ilvl w:val="0"/>
          <w:numId w:val="5"/>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卫生院（优生优育服务站）</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主要职责：主要承担乡镇医疗、保健、疾病预防和优生优育技术服务等工作。</w:t>
      </w:r>
    </w:p>
    <w:p>
      <w:pPr>
        <w:widowControl w:val="0"/>
        <w:adjustRightInd w:val="0"/>
        <w:snapToGrid w:val="0"/>
        <w:spacing w:line="360" w:lineRule="auto"/>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rPr>
        <w:t>2、农牧综合服务中心（畜牧兽医服务中心）</w:t>
      </w:r>
    </w:p>
    <w:p>
      <w:pPr>
        <w:widowControl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主要职责：主要承担乡镇农牧技术推广、农机、种子推广、科技培训、蔬菜种植、草原管理、畜牧兽医、兽防、野生动物保护、渔业、林业和水利等工作。</w:t>
      </w:r>
    </w:p>
    <w:p>
      <w:pPr>
        <w:widowControl w:val="0"/>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3、文化服务中心</w:t>
      </w:r>
    </w:p>
    <w:p>
      <w:pPr>
        <w:widowControl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主要职责：主要承担远程教育站点的维护使用和乡镇文化、广播、电影、电视、图书、群众体育等工作。</w:t>
      </w:r>
    </w:p>
    <w:p>
      <w:pPr>
        <w:widowControl w:val="0"/>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4、机关后勤服务中心</w:t>
      </w:r>
    </w:p>
    <w:p>
      <w:pPr>
        <w:widowControl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主要职责：负责乡机关后勤保障工作。</w:t>
      </w:r>
    </w:p>
    <w:p>
      <w:pPr>
        <w:widowControl w:val="0"/>
        <w:adjustRightInd w:val="0"/>
        <w:snapToGrid w:val="0"/>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派驻政发机构：</w:t>
      </w:r>
    </w:p>
    <w:p>
      <w:pPr>
        <w:widowControl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乃东区亚堆乡人民政府设2个派驻政发机构：</w:t>
      </w:r>
    </w:p>
    <w:p>
      <w:pPr>
        <w:widowControl w:val="0"/>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1、公安派出所（正科级）</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负责对派出所辖区各地段、各部位实行治安管理，行使治安行政权，治安管理处罚权，治安案件调查权；执行社会监督，履行监督考察权，治安行政强制权，使用秘密手段和使用武器、警械权，开展以治保会为主体和多层次的群治工作；协助侦破涉及辖区内发生的刑事案件。</w:t>
      </w:r>
    </w:p>
    <w:p>
      <w:pPr>
        <w:widowControl w:val="0"/>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2、司法所（副科级）</w:t>
      </w:r>
    </w:p>
    <w:p>
      <w:pPr>
        <w:widowControl w:val="0"/>
        <w:adjustRightInd w:val="0"/>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主要职责：负责协助有关部门开展依法治理工作和行政执法检查、监督工作。承担本辖区普法工作的规划、组织和落实。组织和建立基础法制宣传网络。指导管理人民调解工作，参与重大凝难民间纠纷调解工作。当好法律顾问，做好“基层”法律服务，协办法律援助工作。</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 xml:space="preserve">山南市乃东区颇章乡 </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65"/>
        <w:gridCol w:w="1350"/>
        <w:gridCol w:w="1693"/>
        <w:gridCol w:w="1350"/>
        <w:gridCol w:w="1616"/>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5"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693"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1350"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572"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715"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615"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5,743,882.00</w:t>
            </w: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5,449,190.00</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5,449,190.00</w:t>
            </w: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274,692.00</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274,692.00</w:t>
            </w: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5,743,882.00</w:t>
            </w:r>
          </w:p>
        </w:tc>
        <w:tc>
          <w:tcPr>
            <w:tcW w:w="16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5,743,882.00</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5,743,882.00</w:t>
            </w:r>
          </w:p>
        </w:tc>
        <w:tc>
          <w:tcPr>
            <w:tcW w:w="95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4"/>
        <w:gridCol w:w="2076"/>
        <w:gridCol w:w="2807"/>
        <w:gridCol w:w="1290"/>
        <w:gridCol w:w="975"/>
        <w:gridCol w:w="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507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3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2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3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2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2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2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2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2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2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2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2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2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20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8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5,743,882.00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5,723,882.00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8"/>
        <w:gridCol w:w="1528"/>
        <w:gridCol w:w="3086"/>
        <w:gridCol w:w="1350"/>
        <w:gridCol w:w="1300"/>
        <w:gridCol w:w="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shd w:val="clear"/>
            <w:vAlign w:val="center"/>
          </w:tcPr>
          <w:p>
            <w:pPr>
              <w:jc w:val="both"/>
              <w:rPr>
                <w:rFonts w:hint="eastAsia" w:ascii="宋体" w:hAnsi="宋体" w:eastAsia="宋体" w:cs="宋体"/>
                <w:i w:val="0"/>
                <w:color w:val="000000"/>
                <w:sz w:val="21"/>
                <w:szCs w:val="21"/>
                <w:u w:val="none"/>
              </w:rPr>
            </w:pPr>
          </w:p>
        </w:tc>
        <w:tc>
          <w:tcPr>
            <w:tcW w:w="1528" w:type="dxa"/>
            <w:shd w:val="clear"/>
            <w:vAlign w:val="center"/>
          </w:tcPr>
          <w:p>
            <w:pPr>
              <w:rPr>
                <w:rFonts w:hint="eastAsia" w:ascii="宋体" w:hAnsi="宋体" w:eastAsia="宋体" w:cs="宋体"/>
                <w:i w:val="0"/>
                <w:color w:val="000000"/>
                <w:sz w:val="22"/>
                <w:szCs w:val="22"/>
                <w:u w:val="none"/>
              </w:rPr>
            </w:pPr>
          </w:p>
        </w:tc>
        <w:tc>
          <w:tcPr>
            <w:tcW w:w="3086"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rPr>
                <w:rFonts w:hint="eastAsia" w:ascii="宋体" w:hAnsi="宋体" w:eastAsia="宋体" w:cs="宋体"/>
                <w:i w:val="0"/>
                <w:color w:val="000000"/>
                <w:sz w:val="22"/>
                <w:szCs w:val="22"/>
                <w:u w:val="none"/>
              </w:rPr>
            </w:pPr>
          </w:p>
        </w:tc>
        <w:tc>
          <w:tcPr>
            <w:tcW w:w="1648"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24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573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3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3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4,286,338.50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4,286,338.50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936,796.00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936,796.00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3,177,838.50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3,177,838.50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136,400.00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35,304.00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35,304.00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1,185,024.00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1,185,024.00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205,281.24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205,281.24</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333,982.40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333,982.40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50,783.00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50,783.00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51,950.00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51,950.00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45,024.00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45,024.00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528"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51,113.21</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51,113.21</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16,890.15</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16,890.15</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252,519.50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252,519.50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224,692.00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224,692.00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27,827.50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27,827.50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24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5,723,882.00 </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4,538,858.00 </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1,185,024.00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80,000.00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80,000.00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80,000.00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80000.00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80000.00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80,000.00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92"/>
        <w:gridCol w:w="2594"/>
        <w:gridCol w:w="209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4"/>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292" w:type="dxa"/>
            <w:shd w:val="clear"/>
            <w:vAlign w:val="center"/>
          </w:tcPr>
          <w:p>
            <w:pPr>
              <w:jc w:val="left"/>
              <w:rPr>
                <w:rFonts w:hint="eastAsia" w:ascii="宋体" w:hAnsi="宋体" w:eastAsia="宋体" w:cs="宋体"/>
                <w:i w:val="0"/>
                <w:color w:val="000000"/>
                <w:sz w:val="21"/>
                <w:szCs w:val="21"/>
                <w:u w:val="none"/>
              </w:rPr>
            </w:pPr>
          </w:p>
        </w:tc>
        <w:tc>
          <w:tcPr>
            <w:tcW w:w="2594" w:type="dxa"/>
            <w:shd w:val="clear"/>
            <w:vAlign w:val="center"/>
          </w:tcPr>
          <w:p>
            <w:pPr>
              <w:rPr>
                <w:rFonts w:hint="eastAsia" w:ascii="宋体" w:hAnsi="宋体" w:eastAsia="宋体" w:cs="宋体"/>
                <w:i w:val="0"/>
                <w:color w:val="000000"/>
                <w:sz w:val="22"/>
                <w:szCs w:val="22"/>
                <w:u w:val="none"/>
              </w:rPr>
            </w:pPr>
          </w:p>
        </w:tc>
        <w:tc>
          <w:tcPr>
            <w:tcW w:w="2094"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88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344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5,743,882.00</w:t>
            </w: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5,449,190.00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274,692.00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5,743,882.00</w:t>
            </w: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5,743,882.00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25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5,743,882.00 </w:t>
            </w:r>
          </w:p>
        </w:tc>
        <w:tc>
          <w:tcPr>
            <w:tcW w:w="20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5,743,882.00 </w:t>
            </w:r>
          </w:p>
        </w:tc>
      </w:tr>
    </w:tbl>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1"/>
        <w:gridCol w:w="1067"/>
        <w:gridCol w:w="1290"/>
        <w:gridCol w:w="342"/>
        <w:gridCol w:w="1426"/>
        <w:gridCol w:w="797"/>
        <w:gridCol w:w="342"/>
        <w:gridCol w:w="477"/>
        <w:gridCol w:w="410"/>
        <w:gridCol w:w="477"/>
        <w:gridCol w:w="342"/>
        <w:gridCol w:w="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330"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1067"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342" w:type="dxa"/>
            <w:shd w:val="clear"/>
            <w:vAlign w:val="center"/>
          </w:tcPr>
          <w:p>
            <w:pPr>
              <w:rPr>
                <w:rFonts w:hint="eastAsia" w:ascii="宋体" w:hAnsi="宋体" w:eastAsia="宋体" w:cs="宋体"/>
                <w:i w:val="0"/>
                <w:color w:val="000000"/>
                <w:sz w:val="22"/>
                <w:szCs w:val="22"/>
                <w:u w:val="none"/>
              </w:rPr>
            </w:pPr>
          </w:p>
        </w:tc>
        <w:tc>
          <w:tcPr>
            <w:tcW w:w="1426" w:type="dxa"/>
            <w:shd w:val="clear"/>
            <w:vAlign w:val="center"/>
          </w:tcPr>
          <w:p>
            <w:pPr>
              <w:rPr>
                <w:rFonts w:hint="eastAsia" w:ascii="宋体" w:hAnsi="宋体" w:eastAsia="宋体" w:cs="宋体"/>
                <w:i w:val="0"/>
                <w:color w:val="000000"/>
                <w:sz w:val="22"/>
                <w:szCs w:val="22"/>
                <w:u w:val="none"/>
              </w:rPr>
            </w:pPr>
          </w:p>
        </w:tc>
        <w:tc>
          <w:tcPr>
            <w:tcW w:w="797" w:type="dxa"/>
            <w:shd w:val="clear"/>
            <w:vAlign w:val="center"/>
          </w:tcPr>
          <w:p>
            <w:pPr>
              <w:rPr>
                <w:rFonts w:hint="eastAsia" w:ascii="宋体" w:hAnsi="宋体" w:eastAsia="宋体" w:cs="宋体"/>
                <w:i w:val="0"/>
                <w:color w:val="000000"/>
                <w:sz w:val="22"/>
                <w:szCs w:val="22"/>
                <w:u w:val="none"/>
              </w:rPr>
            </w:pPr>
          </w:p>
        </w:tc>
        <w:tc>
          <w:tcPr>
            <w:tcW w:w="342" w:type="dxa"/>
            <w:shd w:val="clear"/>
            <w:vAlign w:val="center"/>
          </w:tcPr>
          <w:p>
            <w:pPr>
              <w:rPr>
                <w:rFonts w:hint="eastAsia" w:ascii="宋体" w:hAnsi="宋体" w:eastAsia="宋体" w:cs="宋体"/>
                <w:i w:val="0"/>
                <w:color w:val="000000"/>
                <w:sz w:val="22"/>
                <w:szCs w:val="22"/>
                <w:u w:val="none"/>
              </w:rPr>
            </w:pPr>
          </w:p>
        </w:tc>
        <w:tc>
          <w:tcPr>
            <w:tcW w:w="477" w:type="dxa"/>
            <w:shd w:val="clear"/>
            <w:vAlign w:val="center"/>
          </w:tcPr>
          <w:p>
            <w:pPr>
              <w:rPr>
                <w:rFonts w:hint="eastAsia" w:ascii="宋体" w:hAnsi="宋体" w:eastAsia="宋体" w:cs="宋体"/>
                <w:i w:val="0"/>
                <w:color w:val="000000"/>
                <w:sz w:val="22"/>
                <w:szCs w:val="22"/>
                <w:u w:val="none"/>
              </w:rPr>
            </w:pPr>
          </w:p>
        </w:tc>
        <w:tc>
          <w:tcPr>
            <w:tcW w:w="410" w:type="dxa"/>
            <w:shd w:val="clear"/>
            <w:vAlign w:val="center"/>
          </w:tcPr>
          <w:p>
            <w:pPr>
              <w:rPr>
                <w:rFonts w:hint="eastAsia" w:ascii="宋体" w:hAnsi="宋体" w:eastAsia="宋体" w:cs="宋体"/>
                <w:i w:val="0"/>
                <w:color w:val="000000"/>
                <w:sz w:val="22"/>
                <w:szCs w:val="22"/>
                <w:u w:val="none"/>
              </w:rPr>
            </w:pPr>
          </w:p>
        </w:tc>
        <w:tc>
          <w:tcPr>
            <w:tcW w:w="477" w:type="dxa"/>
            <w:shd w:val="clear"/>
            <w:vAlign w:val="center"/>
          </w:tcPr>
          <w:p>
            <w:pPr>
              <w:rPr>
                <w:rFonts w:hint="eastAsia" w:ascii="宋体" w:hAnsi="宋体" w:eastAsia="宋体" w:cs="宋体"/>
                <w:i w:val="0"/>
                <w:color w:val="000000"/>
                <w:sz w:val="22"/>
                <w:szCs w:val="22"/>
                <w:u w:val="none"/>
              </w:rPr>
            </w:pPr>
          </w:p>
        </w:tc>
        <w:tc>
          <w:tcPr>
            <w:tcW w:w="921"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8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4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5,743,882.00</w:t>
            </w: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5,743,882.00</w:t>
            </w:r>
          </w:p>
        </w:tc>
        <w:tc>
          <w:tcPr>
            <w:tcW w:w="7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4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11"/>
        <w:gridCol w:w="1767"/>
        <w:gridCol w:w="1290"/>
        <w:gridCol w:w="1290"/>
        <w:gridCol w:w="975"/>
        <w:gridCol w:w="701"/>
        <w:gridCol w:w="886"/>
        <w:gridCol w:w="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11"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tc>
        <w:tc>
          <w:tcPr>
            <w:tcW w:w="7519" w:type="dxa"/>
            <w:gridSpan w:val="7"/>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11" w:type="dxa"/>
            <w:shd w:val="clear"/>
            <w:vAlign w:val="center"/>
          </w:tcPr>
          <w:p>
            <w:pPr>
              <w:jc w:val="left"/>
              <w:rPr>
                <w:rFonts w:hint="eastAsia" w:ascii="宋体" w:hAnsi="宋体" w:eastAsia="宋体" w:cs="宋体"/>
                <w:i w:val="0"/>
                <w:color w:val="000000"/>
                <w:sz w:val="21"/>
                <w:szCs w:val="21"/>
                <w:u w:val="none"/>
              </w:rPr>
            </w:pPr>
          </w:p>
        </w:tc>
        <w:tc>
          <w:tcPr>
            <w:tcW w:w="1767"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975" w:type="dxa"/>
            <w:shd w:val="clear"/>
            <w:vAlign w:val="center"/>
          </w:tcPr>
          <w:p>
            <w:pPr>
              <w:rPr>
                <w:rFonts w:hint="eastAsia" w:ascii="宋体" w:hAnsi="宋体" w:eastAsia="宋体" w:cs="宋体"/>
                <w:i w:val="0"/>
                <w:color w:val="000000"/>
                <w:sz w:val="22"/>
                <w:szCs w:val="22"/>
                <w:u w:val="none"/>
              </w:rPr>
            </w:pPr>
          </w:p>
        </w:tc>
        <w:tc>
          <w:tcPr>
            <w:tcW w:w="701" w:type="dxa"/>
            <w:shd w:val="clear"/>
            <w:vAlign w:val="center"/>
          </w:tcPr>
          <w:p>
            <w:pPr>
              <w:rPr>
                <w:rFonts w:hint="eastAsia" w:ascii="宋体" w:hAnsi="宋体" w:eastAsia="宋体" w:cs="宋体"/>
                <w:i w:val="0"/>
                <w:color w:val="000000"/>
                <w:sz w:val="22"/>
                <w:szCs w:val="22"/>
                <w:u w:val="none"/>
              </w:rPr>
            </w:pPr>
          </w:p>
        </w:tc>
        <w:tc>
          <w:tcPr>
            <w:tcW w:w="1496"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57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5,449,190.00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7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274,692.00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57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5,743,882.00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5,723,882.00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 xml:space="preserve">山南市乃东区颇章乡 </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5449190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274692元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5449190</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94.87</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0.35</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274692元，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4.78</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54491900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政府办公厅（室）及相关机构事务54491900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5449190</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4286338.5</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1185024</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252519.5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农林水支出20000元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1、扶贫支出20000元。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（1）行政运行20000元。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其他支出274692元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1、其他支出274692元。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（1）其他支出274692元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5723882</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4286338.5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74.89</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1185024</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20.7</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252519.5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4.41</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80000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80000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80000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5449190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274692元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5743882</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5449190</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94.87</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0.35</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274692元，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4.87</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bookmarkStart w:id="3" w:name="_GoBack"/>
      <w:bookmarkEnd w:id="3"/>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C04540"/>
    <w:multiLevelType w:val="singleLevel"/>
    <w:tmpl w:val="CEC04540"/>
    <w:lvl w:ilvl="0" w:tentative="0">
      <w:start w:val="1"/>
      <w:numFmt w:val="decimal"/>
      <w:suff w:val="nothing"/>
      <w:lvlText w:val="%1、"/>
      <w:lvlJc w:val="left"/>
    </w:lvl>
  </w:abstractNum>
  <w:abstractNum w:abstractNumId="1">
    <w:nsid w:val="D8447056"/>
    <w:multiLevelType w:val="singleLevel"/>
    <w:tmpl w:val="D8447056"/>
    <w:lvl w:ilvl="0" w:tentative="0">
      <w:start w:val="1"/>
      <w:numFmt w:val="chineseCounting"/>
      <w:suff w:val="nothing"/>
      <w:lvlText w:val="%1、"/>
      <w:lvlJc w:val="left"/>
      <w:rPr>
        <w:rFonts w:hint="eastAsia"/>
      </w:rPr>
    </w:lvl>
  </w:abstractNum>
  <w:abstractNum w:abstractNumId="2">
    <w:nsid w:val="05C8B05B"/>
    <w:multiLevelType w:val="singleLevel"/>
    <w:tmpl w:val="05C8B05B"/>
    <w:lvl w:ilvl="0" w:tentative="0">
      <w:start w:val="1"/>
      <w:numFmt w:val="decimal"/>
      <w:suff w:val="nothing"/>
      <w:lvlText w:val="%1、"/>
      <w:lvlJc w:val="left"/>
    </w:lvl>
  </w:abstractNum>
  <w:abstractNum w:abstractNumId="3">
    <w:nsid w:val="265290F6"/>
    <w:multiLevelType w:val="singleLevel"/>
    <w:tmpl w:val="265290F6"/>
    <w:lvl w:ilvl="0" w:tentative="0">
      <w:start w:val="3"/>
      <w:numFmt w:val="chineseCounting"/>
      <w:suff w:val="nothing"/>
      <w:lvlText w:val="%1、"/>
      <w:lvlJc w:val="left"/>
      <w:rPr>
        <w:rFonts w:hint="eastAsia"/>
      </w:rPr>
    </w:lvl>
  </w:abstractNum>
  <w:abstractNum w:abstractNumId="4">
    <w:nsid w:val="45B7A198"/>
    <w:multiLevelType w:val="singleLevel"/>
    <w:tmpl w:val="45B7A198"/>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5916A36"/>
    <w:rsid w:val="13F106A8"/>
    <w:rsid w:val="1D9E79D6"/>
    <w:rsid w:val="26E57E8B"/>
    <w:rsid w:val="28265A2A"/>
    <w:rsid w:val="28D878CD"/>
    <w:rsid w:val="30D372B6"/>
    <w:rsid w:val="396D5533"/>
    <w:rsid w:val="3EDC4B6D"/>
    <w:rsid w:val="3EE36A25"/>
    <w:rsid w:val="43603CEB"/>
    <w:rsid w:val="44890A8C"/>
    <w:rsid w:val="45222F42"/>
    <w:rsid w:val="461360DA"/>
    <w:rsid w:val="472A34F9"/>
    <w:rsid w:val="48B676D7"/>
    <w:rsid w:val="4B020017"/>
    <w:rsid w:val="609D6910"/>
    <w:rsid w:val="66516B3F"/>
    <w:rsid w:val="699A1B94"/>
    <w:rsid w:val="6C92316B"/>
    <w:rsid w:val="7464571E"/>
    <w:rsid w:val="751203EA"/>
    <w:rsid w:val="770259B3"/>
    <w:rsid w:val="78866231"/>
    <w:rsid w:val="7BCB3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 w:type="paragraph" w:customStyle="1" w:styleId="12">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5</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2019-01-01T03:59:51Z</cp:lastPrinted>
  <dcterms:modified xsi:type="dcterms:W3CDTF">2019-01-01T04:11:19Z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