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sz w:val="84"/>
          <w:szCs w:val="84"/>
        </w:rPr>
      </w:pPr>
    </w:p>
    <w:p>
      <w:r>
        <w:t xml:space="preserve">                             </w:t>
      </w:r>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乃东区人大常委会办公室</w:t>
      </w:r>
    </w:p>
    <w:p>
      <w:pPr>
        <w:jc w:val="center"/>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rPr>
        <w:t>6年部门决算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44"/>
          <w:szCs w:val="44"/>
        </w:rPr>
        <w:sectPr>
          <w:headerReference r:id="rId3" w:type="default"/>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rPr>
          <w:rFonts w:ascii="仿宋_GB2312" w:hAnsi="仿宋_GB2312" w:eastAsia="仿宋_GB2312" w:cs="仿宋_GB2312"/>
          <w:sz w:val="32"/>
          <w:szCs w:val="32"/>
        </w:rPr>
      </w:pPr>
    </w:p>
    <w:p>
      <w:pPr>
        <w:numPr>
          <w:ilvl w:val="0"/>
          <w:numId w:val="1"/>
        </w:num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乃东区人大常委会办公室概况</w:t>
      </w:r>
    </w:p>
    <w:p>
      <w:pPr>
        <w:numPr>
          <w:ilvl w:val="0"/>
          <w:numId w:val="2"/>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乃东区人大常委会办公室</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6年部门决算表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乃东区人大常委会办公室</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6年部门决算数据分析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名称解释</w:t>
      </w:r>
    </w:p>
    <w:p>
      <w:pPr>
        <w:jc w:val="center"/>
        <w:rPr>
          <w:sz w:val="84"/>
          <w:szCs w:val="84"/>
        </w:rPr>
      </w:pPr>
    </w:p>
    <w:p>
      <w:pPr>
        <w:jc w:val="center"/>
        <w:rPr>
          <w:sz w:val="84"/>
          <w:szCs w:val="84"/>
        </w:rPr>
      </w:pPr>
    </w:p>
    <w:p>
      <w:pPr>
        <w:jc w:val="center"/>
        <w:rPr>
          <w:sz w:val="84"/>
          <w:szCs w:val="84"/>
        </w:rPr>
        <w:sectPr>
          <w:footerReference r:id="rId4" w:type="default"/>
          <w:pgSz w:w="11906" w:h="16838"/>
          <w:pgMar w:top="1440" w:right="1800" w:bottom="1440" w:left="1800" w:header="851" w:footer="992" w:gutter="0"/>
          <w:pgNumType w:start="1"/>
          <w:cols w:space="425" w:num="1"/>
          <w:docGrid w:type="lines" w:linePitch="312" w:charSpace="0"/>
        </w:sect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r>
        <w:t xml:space="preserve">                             </w:t>
      </w:r>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乃东区人大常委会办公室概况</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spacing w:line="576"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乃东区人大常委会办公室概况</w:t>
      </w:r>
    </w:p>
    <w:p>
      <w:pPr>
        <w:spacing w:line="576" w:lineRule="exact"/>
        <w:ind w:firstLine="640"/>
        <w:rPr>
          <w:rFonts w:eastAsia="黑体"/>
          <w:sz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一、主要职责</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山南市乃东区人民代表大会是地方国家权力机关，区人大常委会是区人民代表大会的常设机构，依据宪法规定行使职权。区人大常委会机关设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个办事机构（正科级）：区人大常委会办公室；区人民代表大会设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个专门委员会（正科级），即：区人大司法民族宗教委员会、区人大财经农牧城建环保委员会、区人大教育科学文化卫生委员会。</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（一）区人大常委会办公室主要职责</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、负责区人民代表大会、常委会、主任会的筹备工作。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、承担区人大常委会领导参加各项活动及机关重要活动的组织安排；负责与区人大各工作机构的协调工作。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、负责区人大常委会与区人民政府、区人民法院、区人民检察院的联系。</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、负责来本区的上级人大常委会和兄弟地区人大常委会工作团体和人员的接待工作。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、负责区人大常委会年度工作安排、总结的起草工作，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了解、综合区人大常委会主要工作部署和决议、决定的贯彻情况。</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6</w:t>
      </w:r>
      <w:r>
        <w:rPr>
          <w:rFonts w:hint="eastAsia" w:ascii="仿宋_GB2312" w:hAnsi="仿宋_GB2312" w:eastAsia="仿宋_GB2312" w:cs="仿宋_GB2312"/>
          <w:sz w:val="32"/>
          <w:szCs w:val="32"/>
        </w:rPr>
        <w:t>、协助组织区人大代表的视察活动，负责联系区人大代表，组织代表视察活动等。</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7</w:t>
      </w:r>
      <w:r>
        <w:rPr>
          <w:rFonts w:hint="eastAsia" w:ascii="仿宋_GB2312" w:hAnsi="仿宋_GB2312" w:eastAsia="仿宋_GB2312" w:cs="仿宋_GB2312"/>
          <w:sz w:val="32"/>
          <w:szCs w:val="32"/>
        </w:rPr>
        <w:t>、负责人民代表大会制度的理论研究、地方人大工作的调查研究及组织工作。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8</w:t>
      </w:r>
      <w:r>
        <w:rPr>
          <w:rFonts w:hint="eastAsia" w:ascii="仿宋_GB2312" w:hAnsi="仿宋_GB2312" w:eastAsia="仿宋_GB2312" w:cs="仿宋_GB2312"/>
          <w:sz w:val="32"/>
          <w:szCs w:val="32"/>
        </w:rPr>
        <w:t>、负责组织全区人大的宣传、新闻报道及联系工作；承担人大相关刊物的编辑工作，收集、整理和交流人大工作信息。</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办理区人民代表大会及其常务委员会、主任会议交办的其他事项。</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（二）法制司法民族宗教委员会主要职责</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、负责配合办公室做好区人民代表大会会议、常委会会议的筹备和服务工作。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、承办全国、自治区、市人大交办的有关内务司法、民族宗教、人力资源和社会保障等方面的法律法规草案的征求意见工作。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做好常委会有关法治、司法、民族、宗教方面的执法检查、视察、调研等工作。督促区人民政府及其有关部门、区人民法院、区人民检察院贯彻执行内务司法、民族宗教、人力资源和社会保障等方面的法律法规和区人民代表大会及其常务委员会的有关决议、决定；协助区人大常委会办理本区民族立法、地方性法规清理，属于内务司法，民族宗教、人力资源和社会保障等方面的规范性文件的备案审查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办理属于内务司法、民族宗教、人力资源和社会保障等方面的质询案，组织提出质询案的区人大代表或委员听取受质询机关对质询案的答复，提出办理结果情况报告；办理区人大常委会、主任会议交付的有关议案，提出审查报告。</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、调查了解有关内务司法、民族宗教、人力资源和社会保障等方面中的重大事项，负责起草相关报告，提出建议，提请主任会议或常委会审议对本工作委员会职责范围内的问题，进行调查研究，提出建议或意见。</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、受理公民、法人和其他组织对司法机关的申诉、控告和检举，依法督促司法机关公正司法；</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7</w:t>
      </w:r>
      <w:r>
        <w:rPr>
          <w:rFonts w:hint="eastAsia" w:ascii="仿宋_GB2312" w:hAnsi="仿宋_GB2312" w:eastAsia="仿宋_GB2312" w:cs="仿宋_GB2312"/>
          <w:sz w:val="32"/>
          <w:szCs w:val="32"/>
        </w:rPr>
        <w:t>、负责与对口联系的部门和单位的工作联系，组织听取有关内务司法、民族宗教、民政、人力资源和社会保障等方面的工作情况汇报；</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8</w:t>
      </w:r>
      <w:r>
        <w:rPr>
          <w:rFonts w:hint="eastAsia" w:ascii="仿宋_GB2312" w:hAnsi="仿宋_GB2312" w:eastAsia="仿宋_GB2312" w:cs="仿宋_GB2312"/>
          <w:sz w:val="32"/>
          <w:szCs w:val="32"/>
        </w:rPr>
        <w:t>、根据国家机关和社会团体、企事业组织以及公民对规范性文件提出的审查要求和建议，会同其他专门委员会或工作机构进行审查，并将审查结果向区人大常委会主任会议报告。</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、办理区人民代表大会及其常务委员会、主任会议交办的其他事项。</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（三）财经农牧城建环保委员会主要职责</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、负责配合办公室做好区人民代表大会会议、常委会会议的筹备和服务工作。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、承办全国、自治区、市人大交办的有关财经方面的法律法规草案、有关农牧业与农牧区方面的法律法规草案、有关城市建设和环保生态方面的法律法规草案内征求意见工作。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做好常委会有关财经方面的、有关农牧业与农牧区方面、有关城市建设和环保生态方面的执法检查、视察和调研等工作。调查了解有关财经方面的、有关牧牧业与农牧区方面、有关城建环保生态方面的法律、法规和决议、决定在本区贯彻实施情况，调查了解有关财经方面的、有关农牧业与农牧区方面、有关城建环保生态方面中的重大事项，负责起草柏关报告，提出建议，提请主任会议或常委会审议。</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草拟常委会有关预算、审计方面的决议、决定和议案对本区国民经济和社会发展计划的调整进行初审，提出意见，向主任会议报告。草拟常委会有关农牧业与农牧区方面、有关城市建设和环保生态方面的决议、决定和议案。</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、督促办理区人代会或常委会交办的有关财经方面的、</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有关农牧业与农牧区方面、有关城市建设和环保生态方面的议案和代表建议。</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6</w:t>
      </w:r>
      <w:r>
        <w:rPr>
          <w:rFonts w:hint="eastAsia" w:ascii="仿宋_GB2312" w:hAnsi="仿宋_GB2312" w:eastAsia="仿宋_GB2312" w:cs="仿宋_GB2312"/>
          <w:sz w:val="32"/>
          <w:szCs w:val="32"/>
        </w:rPr>
        <w:t>、做好常委会有关预算、审计方面的执法检查，视察和调研等工作。调查了解有关预算、审计方面的法律、法规和决议、决定在本区贯彻实施情况，调查了解有关预算、审计工作中的重大事项，负责起草相关报告，提出建议，提请主任会议或常委会审议。</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7</w:t>
      </w:r>
      <w:r>
        <w:rPr>
          <w:rFonts w:hint="eastAsia" w:ascii="仿宋_GB2312" w:hAnsi="仿宋_GB2312" w:eastAsia="仿宋_GB2312" w:cs="仿宋_GB2312"/>
          <w:sz w:val="32"/>
          <w:szCs w:val="32"/>
        </w:rPr>
        <w:t>、对区财政预算、决算草案和审计工作报告以及部门预算、决算草案进行初审，对本区财政预算的调整进行初审，提出意见，向主任会议报告。</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8</w:t>
      </w:r>
      <w:r>
        <w:rPr>
          <w:rFonts w:hint="eastAsia" w:ascii="仿宋_GB2312" w:hAnsi="仿宋_GB2312" w:eastAsia="仿宋_GB2312" w:cs="仿宋_GB2312"/>
          <w:sz w:val="32"/>
          <w:szCs w:val="32"/>
        </w:rPr>
        <w:t>、负责本区财经、环境与资源保护、城建等方面的规范性文件的备案审查工作。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、负责审查、督办本级人民代表大会期间代表提出的确关议案、意见建议和驻乃东区的上级代表提出的有关议案、意见建议。</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1 0</w:t>
      </w:r>
      <w:r>
        <w:rPr>
          <w:rFonts w:hint="eastAsia" w:ascii="仿宋_GB2312" w:hAnsi="仿宋_GB2312" w:eastAsia="仿宋_GB2312" w:cs="仿宋_GB2312"/>
          <w:sz w:val="32"/>
          <w:szCs w:val="32"/>
        </w:rPr>
        <w:t>、办理区人民代表大会及其常务委员会，主任会议交办的其他事项。</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（四）教育科学文化卫生委员会主要职责</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、承办全国、自治区、市人大交办的有关教科文卫方面的法律法规草案的征求意见工作。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做好常委会有关教科文卫方面的执法检查、视察和调研等工作。调查了解有关教科文卫方面的法律、法规和决议、决定在本市贯彻实施情况，调查了解有关教科文卫工作中的重大事项，负责起草相关报告，提出建议，提请主任会议或常委会审议。</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、革拟常委会有关教科文卫方面的决议、决定和议案。</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、督促办理区人代会或常委会交办的有关教科文卫方面的议案和代表建议。</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、负责本区教科文卫方面方面的规范性文件的备案审查工作。</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6</w:t>
      </w:r>
      <w:r>
        <w:rPr>
          <w:rFonts w:hint="eastAsia" w:ascii="仿宋_GB2312" w:hAnsi="仿宋_GB2312" w:eastAsia="仿宋_GB2312" w:cs="仿宋_GB2312"/>
          <w:sz w:val="32"/>
          <w:szCs w:val="32"/>
        </w:rPr>
        <w:t>、办理区人民代表大会及其常务委员会、主任会议交办的其他事项。</w:t>
      </w:r>
    </w:p>
    <w:p>
      <w:pPr>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二、内设机构</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乃东区人大常委会办公室，三个专门委员会不设内设机构。</w:t>
      </w:r>
    </w:p>
    <w:p>
      <w:pPr>
        <w:rPr>
          <w:rFonts w:ascii="仿宋_GB2312" w:hAnsi="仿宋_GB2312" w:eastAsia="仿宋_GB2312" w:cs="仿宋_GB2312"/>
          <w:sz w:val="32"/>
          <w:szCs w:val="32"/>
        </w:rPr>
      </w:pPr>
      <w:r>
        <w:rPr>
          <w:rFonts w:ascii="黑体" w:hAnsi="黑体" w:eastAsia="黑体" w:cs="黑体"/>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乃东区人大常委会办公室</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70"/>
        <w:gridCol w:w="1350"/>
        <w:gridCol w:w="2241"/>
        <w:gridCol w:w="333"/>
        <w:gridCol w:w="1663"/>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920"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2241"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3"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36"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20"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410"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3,391,326.00</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3,391,326.00</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3"/>
        <w:gridCol w:w="1689"/>
        <w:gridCol w:w="3060"/>
        <w:gridCol w:w="1290"/>
        <w:gridCol w:w="1080"/>
        <w:gridCol w:w="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5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2015年决算数</w:t>
            </w:r>
          </w:p>
        </w:tc>
        <w:tc>
          <w:tcPr>
            <w:tcW w:w="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895,000.00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人大事务</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895,000.00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2010101</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2010107</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人大代表履职能力提升</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2010108</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代表工作</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2010199</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其他人大事务支出</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675,000.00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895,000.00</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4"/>
        <w:gridCol w:w="1613"/>
        <w:gridCol w:w="3235"/>
        <w:gridCol w:w="1300"/>
        <w:gridCol w:w="1089"/>
        <w:gridCol w:w="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shd w:val="clear" w:color="auto" w:fill="auto"/>
            <w:vAlign w:val="center"/>
          </w:tcPr>
          <w:p>
            <w:pPr>
              <w:jc w:val="both"/>
              <w:rPr>
                <w:rFonts w:hint="eastAsia" w:ascii="宋体" w:hAnsi="宋体" w:eastAsia="宋体" w:cs="宋体"/>
                <w:i w:val="0"/>
                <w:color w:val="000000"/>
                <w:sz w:val="21"/>
                <w:szCs w:val="21"/>
                <w:u w:val="none"/>
              </w:rPr>
            </w:pPr>
          </w:p>
        </w:tc>
        <w:tc>
          <w:tcPr>
            <w:tcW w:w="1613" w:type="dxa"/>
            <w:shd w:val="clear" w:color="auto" w:fill="auto"/>
            <w:vAlign w:val="center"/>
          </w:tcPr>
          <w:p>
            <w:pPr>
              <w:rPr>
                <w:rFonts w:hint="eastAsia" w:ascii="宋体" w:hAnsi="宋体" w:eastAsia="宋体" w:cs="宋体"/>
                <w:i w:val="0"/>
                <w:color w:val="000000"/>
                <w:sz w:val="22"/>
                <w:szCs w:val="22"/>
                <w:u w:val="none"/>
              </w:rPr>
            </w:pPr>
          </w:p>
        </w:tc>
        <w:tc>
          <w:tcPr>
            <w:tcW w:w="3235" w:type="dxa"/>
            <w:shd w:val="clear" w:color="auto" w:fill="auto"/>
            <w:vAlign w:val="center"/>
          </w:tcPr>
          <w:p>
            <w:pPr>
              <w:rPr>
                <w:rFonts w:hint="eastAsia" w:ascii="宋体" w:hAnsi="宋体" w:eastAsia="宋体" w:cs="宋体"/>
                <w:i w:val="0"/>
                <w:color w:val="000000"/>
                <w:sz w:val="22"/>
                <w:szCs w:val="22"/>
                <w:u w:val="none"/>
              </w:rPr>
            </w:pPr>
          </w:p>
        </w:tc>
        <w:tc>
          <w:tcPr>
            <w:tcW w:w="1300" w:type="dxa"/>
            <w:shd w:val="clear" w:color="auto" w:fill="auto"/>
            <w:vAlign w:val="center"/>
          </w:tcPr>
          <w:p>
            <w:pPr>
              <w:rPr>
                <w:rFonts w:hint="eastAsia" w:ascii="宋体" w:hAnsi="宋体" w:eastAsia="宋体" w:cs="宋体"/>
                <w:i w:val="0"/>
                <w:color w:val="000000"/>
                <w:sz w:val="22"/>
                <w:szCs w:val="22"/>
                <w:u w:val="none"/>
              </w:rPr>
            </w:pPr>
          </w:p>
        </w:tc>
        <w:tc>
          <w:tcPr>
            <w:tcW w:w="1448"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6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1,667,413.00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1,667,413.00</w:t>
            </w:r>
          </w:p>
        </w:tc>
        <w:tc>
          <w:tcPr>
            <w:tcW w:w="1089" w:type="dxa"/>
            <w:shd w:val="clear" w:color="auto" w:fill="auto"/>
            <w:vAlign w:val="center"/>
          </w:tcPr>
          <w:p>
            <w:pPr>
              <w:rPr>
                <w:rFonts w:hint="eastAsia" w:ascii="宋体" w:hAnsi="宋体" w:eastAsia="宋体" w:cs="宋体"/>
                <w:b/>
                <w:i w:val="0"/>
                <w:color w:val="000000"/>
                <w:sz w:val="22"/>
                <w:szCs w:val="22"/>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546,401.00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546,401.00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1,121,012.00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1,121,012.00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116,178.00</w:t>
            </w:r>
          </w:p>
        </w:tc>
        <w:tc>
          <w:tcPr>
            <w:tcW w:w="1300" w:type="dxa"/>
            <w:shd w:val="clear" w:color="auto" w:fill="auto"/>
            <w:vAlign w:val="center"/>
          </w:tcPr>
          <w:p>
            <w:pPr>
              <w:rPr>
                <w:rFonts w:hint="eastAsia" w:ascii="宋体" w:hAnsi="宋体" w:eastAsia="宋体" w:cs="宋体"/>
                <w:b/>
                <w:i w:val="0"/>
                <w:color w:val="000000"/>
                <w:sz w:val="22"/>
                <w:szCs w:val="22"/>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116,178.00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12,863.50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12,863.50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5,600.00</w:t>
            </w:r>
          </w:p>
        </w:tc>
        <w:tc>
          <w:tcPr>
            <w:tcW w:w="1300" w:type="dxa"/>
            <w:shd w:val="clear" w:color="auto" w:fill="auto"/>
            <w:vAlign w:val="center"/>
          </w:tcPr>
          <w:p>
            <w:pPr>
              <w:rPr>
                <w:rFonts w:hint="eastAsia" w:ascii="宋体" w:hAnsi="宋体" w:eastAsia="宋体" w:cs="宋体"/>
                <w:i w:val="0"/>
                <w:color w:val="000000"/>
                <w:sz w:val="22"/>
                <w:szCs w:val="22"/>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5,600.00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9,648.00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9,648.00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613"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32,305.00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32,305.00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55,761.50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55,761.50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2,735.00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2,735.00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2,735.00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2,735.00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310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其他资本性支出</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710,000.00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710,000.00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31007</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信息网络及软件购置更新</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710,000.00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710,000.00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3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2,496,326.00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1,670,148.00 </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826,178.00</w:t>
            </w:r>
          </w:p>
        </w:tc>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88,821.50</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88,821.50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88,821.50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88,821.50</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88,821.50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88,821.50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35"/>
        <w:gridCol w:w="3060"/>
        <w:gridCol w:w="98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935"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60"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85"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35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35" w:type="dxa"/>
            <w:shd w:val="clear" w:color="auto" w:fill="auto"/>
            <w:vAlign w:val="center"/>
          </w:tcPr>
          <w:p>
            <w:pPr>
              <w:jc w:val="left"/>
              <w:rPr>
                <w:rFonts w:hint="eastAsia" w:ascii="宋体" w:hAnsi="宋体" w:eastAsia="宋体" w:cs="宋体"/>
                <w:i w:val="0"/>
                <w:color w:val="000000"/>
                <w:sz w:val="21"/>
                <w:szCs w:val="21"/>
                <w:u w:val="none"/>
              </w:rPr>
            </w:pPr>
          </w:p>
        </w:tc>
        <w:tc>
          <w:tcPr>
            <w:tcW w:w="3060" w:type="dxa"/>
            <w:shd w:val="clear" w:color="auto" w:fill="auto"/>
            <w:vAlign w:val="center"/>
          </w:tcPr>
          <w:p>
            <w:pPr>
              <w:rPr>
                <w:rFonts w:hint="eastAsia" w:ascii="宋体" w:hAnsi="宋体" w:eastAsia="宋体" w:cs="宋体"/>
                <w:i w:val="0"/>
                <w:color w:val="000000"/>
                <w:sz w:val="22"/>
                <w:szCs w:val="22"/>
                <w:u w:val="none"/>
              </w:rPr>
            </w:pPr>
          </w:p>
        </w:tc>
        <w:tc>
          <w:tcPr>
            <w:tcW w:w="985" w:type="dxa"/>
            <w:shd w:val="clear" w:color="auto" w:fill="auto"/>
            <w:vAlign w:val="center"/>
          </w:tcPr>
          <w:p>
            <w:pPr>
              <w:rPr>
                <w:rFonts w:hint="eastAsia" w:ascii="宋体" w:hAnsi="宋体" w:eastAsia="宋体" w:cs="宋体"/>
                <w:i w:val="0"/>
                <w:color w:val="000000"/>
                <w:sz w:val="22"/>
                <w:szCs w:val="22"/>
                <w:u w:val="none"/>
              </w:rPr>
            </w:pPr>
          </w:p>
        </w:tc>
        <w:tc>
          <w:tcPr>
            <w:tcW w:w="13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3,391,326.00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一、一般公共服务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3,391,326.00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3,391,326.00 </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3,391,326.00 </w:t>
            </w:r>
          </w:p>
        </w:tc>
      </w:tr>
    </w:tbl>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6"/>
        <w:gridCol w:w="655"/>
        <w:gridCol w:w="1290"/>
        <w:gridCol w:w="364"/>
        <w:gridCol w:w="1456"/>
        <w:gridCol w:w="888"/>
        <w:gridCol w:w="364"/>
        <w:gridCol w:w="530"/>
        <w:gridCol w:w="447"/>
        <w:gridCol w:w="530"/>
        <w:gridCol w:w="364"/>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330" w:type="dxa"/>
            <w:gridSpan w:val="12"/>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655"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364" w:type="dxa"/>
            <w:shd w:val="clear" w:color="auto" w:fill="auto"/>
            <w:vAlign w:val="center"/>
          </w:tcPr>
          <w:p>
            <w:pPr>
              <w:rPr>
                <w:rFonts w:hint="eastAsia" w:ascii="宋体" w:hAnsi="宋体" w:eastAsia="宋体" w:cs="宋体"/>
                <w:i w:val="0"/>
                <w:color w:val="000000"/>
                <w:sz w:val="22"/>
                <w:szCs w:val="22"/>
                <w:u w:val="none"/>
              </w:rPr>
            </w:pPr>
          </w:p>
        </w:tc>
        <w:tc>
          <w:tcPr>
            <w:tcW w:w="1456" w:type="dxa"/>
            <w:shd w:val="clear" w:color="auto" w:fill="auto"/>
            <w:vAlign w:val="center"/>
          </w:tcPr>
          <w:p>
            <w:pPr>
              <w:rPr>
                <w:rFonts w:hint="eastAsia" w:ascii="宋体" w:hAnsi="宋体" w:eastAsia="宋体" w:cs="宋体"/>
                <w:i w:val="0"/>
                <w:color w:val="000000"/>
                <w:sz w:val="22"/>
                <w:szCs w:val="22"/>
                <w:u w:val="none"/>
              </w:rPr>
            </w:pPr>
          </w:p>
        </w:tc>
        <w:tc>
          <w:tcPr>
            <w:tcW w:w="888" w:type="dxa"/>
            <w:shd w:val="clear" w:color="auto" w:fill="auto"/>
            <w:vAlign w:val="center"/>
          </w:tcPr>
          <w:p>
            <w:pPr>
              <w:rPr>
                <w:rFonts w:hint="eastAsia" w:ascii="宋体" w:hAnsi="宋体" w:eastAsia="宋体" w:cs="宋体"/>
                <w:i w:val="0"/>
                <w:color w:val="000000"/>
                <w:sz w:val="22"/>
                <w:szCs w:val="22"/>
                <w:u w:val="none"/>
              </w:rPr>
            </w:pPr>
          </w:p>
        </w:tc>
        <w:tc>
          <w:tcPr>
            <w:tcW w:w="364" w:type="dxa"/>
            <w:shd w:val="clear" w:color="auto" w:fill="auto"/>
            <w:vAlign w:val="center"/>
          </w:tcPr>
          <w:p>
            <w:pPr>
              <w:rPr>
                <w:rFonts w:hint="eastAsia" w:ascii="宋体" w:hAnsi="宋体" w:eastAsia="宋体" w:cs="宋体"/>
                <w:i w:val="0"/>
                <w:color w:val="000000"/>
                <w:sz w:val="22"/>
                <w:szCs w:val="22"/>
                <w:u w:val="none"/>
              </w:rPr>
            </w:pPr>
          </w:p>
        </w:tc>
        <w:tc>
          <w:tcPr>
            <w:tcW w:w="530" w:type="dxa"/>
            <w:shd w:val="clear" w:color="auto" w:fill="auto"/>
            <w:vAlign w:val="center"/>
          </w:tcPr>
          <w:p>
            <w:pPr>
              <w:rPr>
                <w:rFonts w:hint="eastAsia" w:ascii="宋体" w:hAnsi="宋体" w:eastAsia="宋体" w:cs="宋体"/>
                <w:i w:val="0"/>
                <w:color w:val="000000"/>
                <w:sz w:val="22"/>
                <w:szCs w:val="22"/>
                <w:u w:val="none"/>
              </w:rPr>
            </w:pPr>
          </w:p>
        </w:tc>
        <w:tc>
          <w:tcPr>
            <w:tcW w:w="447" w:type="dxa"/>
            <w:shd w:val="clear" w:color="auto" w:fill="auto"/>
            <w:vAlign w:val="center"/>
          </w:tcPr>
          <w:p>
            <w:pPr>
              <w:rPr>
                <w:rFonts w:hint="eastAsia" w:ascii="宋体" w:hAnsi="宋体" w:eastAsia="宋体" w:cs="宋体"/>
                <w:i w:val="0"/>
                <w:color w:val="000000"/>
                <w:sz w:val="22"/>
                <w:szCs w:val="22"/>
                <w:u w:val="none"/>
              </w:rPr>
            </w:pPr>
          </w:p>
        </w:tc>
        <w:tc>
          <w:tcPr>
            <w:tcW w:w="530" w:type="dxa"/>
            <w:shd w:val="clear" w:color="auto" w:fill="auto"/>
            <w:vAlign w:val="center"/>
          </w:tcPr>
          <w:p>
            <w:pPr>
              <w:rPr>
                <w:rFonts w:hint="eastAsia" w:ascii="宋体" w:hAnsi="宋体" w:eastAsia="宋体" w:cs="宋体"/>
                <w:i w:val="0"/>
                <w:color w:val="000000"/>
                <w:sz w:val="22"/>
                <w:szCs w:val="22"/>
                <w:u w:val="none"/>
              </w:rPr>
            </w:pPr>
          </w:p>
        </w:tc>
        <w:tc>
          <w:tcPr>
            <w:tcW w:w="1020"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7"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人大事务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2010101</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2010107</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人大代表履职能力提升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2010108</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代表工作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2010199</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其他人大事务支出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675,000.00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675,000.00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9"/>
        <w:gridCol w:w="1085"/>
        <w:gridCol w:w="1290"/>
        <w:gridCol w:w="1290"/>
        <w:gridCol w:w="1080"/>
        <w:gridCol w:w="551"/>
        <w:gridCol w:w="1005"/>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09"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7421" w:type="dxa"/>
            <w:gridSpan w:val="7"/>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09" w:type="dxa"/>
            <w:shd w:val="clear" w:color="auto" w:fill="auto"/>
            <w:vAlign w:val="center"/>
          </w:tcPr>
          <w:p>
            <w:pPr>
              <w:jc w:val="left"/>
              <w:rPr>
                <w:rFonts w:hint="eastAsia" w:ascii="宋体" w:hAnsi="宋体" w:eastAsia="宋体" w:cs="宋体"/>
                <w:i w:val="0"/>
                <w:color w:val="000000"/>
                <w:sz w:val="21"/>
                <w:szCs w:val="21"/>
                <w:u w:val="none"/>
              </w:rPr>
            </w:pPr>
          </w:p>
        </w:tc>
        <w:tc>
          <w:tcPr>
            <w:tcW w:w="1085"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1080" w:type="dxa"/>
            <w:shd w:val="clear" w:color="auto" w:fill="auto"/>
            <w:vAlign w:val="center"/>
          </w:tcPr>
          <w:p>
            <w:pPr>
              <w:rPr>
                <w:rFonts w:hint="eastAsia" w:ascii="宋体" w:hAnsi="宋体" w:eastAsia="宋体" w:cs="宋体"/>
                <w:i w:val="0"/>
                <w:color w:val="000000"/>
                <w:sz w:val="22"/>
                <w:szCs w:val="22"/>
                <w:u w:val="none"/>
              </w:rPr>
            </w:pPr>
          </w:p>
        </w:tc>
        <w:tc>
          <w:tcPr>
            <w:tcW w:w="551" w:type="dxa"/>
            <w:shd w:val="clear" w:color="auto" w:fill="auto"/>
            <w:vAlign w:val="center"/>
          </w:tcPr>
          <w:p>
            <w:pPr>
              <w:rPr>
                <w:rFonts w:hint="eastAsia" w:ascii="宋体" w:hAnsi="宋体" w:eastAsia="宋体" w:cs="宋体"/>
                <w:i w:val="0"/>
                <w:color w:val="000000"/>
                <w:sz w:val="22"/>
                <w:szCs w:val="22"/>
                <w:u w:val="none"/>
              </w:rPr>
            </w:pPr>
          </w:p>
        </w:tc>
        <w:tc>
          <w:tcPr>
            <w:tcW w:w="2125"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895,000.00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人大事务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895,000.00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2010101</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2010107</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人大代表履职能力提升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2010108</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代表工作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2010199</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其他人大事务支出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675,000.00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3,391,326.00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2,496,326.00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895,000.00</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乃东区人大常委会办公室</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3391326元，</w:t>
      </w:r>
      <w:r>
        <w:rPr>
          <w:rFonts w:hint="eastAsia" w:ascii="仿宋_GB2312" w:hAnsi="仿宋_GB2312" w:eastAsia="仿宋_GB2312" w:cs="仿宋_GB2312"/>
          <w:color w:val="000000" w:themeColor="text1"/>
          <w:sz w:val="32"/>
          <w:szCs w:val="26"/>
          <w14:textFill>
            <w14:solidFill>
              <w14:schemeClr w14:val="tx1"/>
            </w14:solidFill>
          </w14:textFill>
        </w:rPr>
        <w:t>上年一般公共预算财政拨款支出4470708.8元，比上年同期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1079382.8</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33913260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人大事务33913260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2496326</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1667413</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116178</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710000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26"/>
          <w:lang w:eastAsia="zh-CN"/>
          <w14:textFill>
            <w14:solidFill>
              <w14:schemeClr w14:val="tx1"/>
            </w14:solidFill>
          </w14:textFill>
        </w:rPr>
        <w:t>）人大代表履职能力提升支出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（3）代表工作150000元。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（4）其他人大事务支出675000元。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2496326</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1667413</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66.9</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116178</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4.66</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710000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28.44</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88821.5元，实际支出88821.5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三公经费决算支出52976.8元，同比增加35844.7元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2015年公务接待费决算支出14745元，同比减少14745元。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88821.5</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88821.5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2015年公务用车运行维护费决算支出38231.8元</w:t>
      </w:r>
      <w:bookmarkStart w:id="0" w:name="_GoBack"/>
      <w:bookmarkEnd w:id="0"/>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，同比增加50589.7元。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3391326</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6"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B971"/>
    <w:multiLevelType w:val="singleLevel"/>
    <w:tmpl w:val="18C1B971"/>
    <w:lvl w:ilvl="0" w:tentative="0">
      <w:start w:val="9"/>
      <w:numFmt w:val="decimal"/>
      <w:suff w:val="nothing"/>
      <w:lvlText w:val="%1、"/>
      <w:lvlJc w:val="left"/>
      <w:rPr>
        <w:rFonts w:cs="Times New Roman"/>
      </w:rPr>
    </w:lvl>
  </w:abstractNum>
  <w:abstractNum w:abstractNumId="1">
    <w:nsid w:val="2D0DE9E6"/>
    <w:multiLevelType w:val="singleLevel"/>
    <w:tmpl w:val="2D0DE9E6"/>
    <w:lvl w:ilvl="0" w:tentative="0">
      <w:start w:val="1"/>
      <w:numFmt w:val="chineseCounting"/>
      <w:suff w:val="nothing"/>
      <w:lvlText w:val="%1、"/>
      <w:lvlJc w:val="left"/>
      <w:rPr>
        <w:rFonts w:hint="eastAsia"/>
      </w:rPr>
    </w:lvl>
  </w:abstractNum>
  <w:abstractNum w:abstractNumId="2">
    <w:nsid w:val="2DD0A523"/>
    <w:multiLevelType w:val="singleLevel"/>
    <w:tmpl w:val="2DD0A523"/>
    <w:lvl w:ilvl="0" w:tentative="0">
      <w:start w:val="1"/>
      <w:numFmt w:val="chineseCounting"/>
      <w:suff w:val="nothing"/>
      <w:lvlText w:val="%1、"/>
      <w:lvlJc w:val="left"/>
      <w:rPr>
        <w:rFonts w:hint="eastAsia"/>
      </w:rPr>
    </w:lvl>
  </w:abstractNum>
  <w:abstractNum w:abstractNumId="3">
    <w:nsid w:val="531C98D2"/>
    <w:multiLevelType w:val="singleLevel"/>
    <w:tmpl w:val="531C98D2"/>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104355F1"/>
    <w:rsid w:val="13F106A8"/>
    <w:rsid w:val="1D9E79D6"/>
    <w:rsid w:val="26E57E8B"/>
    <w:rsid w:val="28265A2A"/>
    <w:rsid w:val="28D878CD"/>
    <w:rsid w:val="35526266"/>
    <w:rsid w:val="396D5533"/>
    <w:rsid w:val="3EDC4B6D"/>
    <w:rsid w:val="3EE36A25"/>
    <w:rsid w:val="43603CEB"/>
    <w:rsid w:val="44890A8C"/>
    <w:rsid w:val="45222F42"/>
    <w:rsid w:val="461360DA"/>
    <w:rsid w:val="472A34F9"/>
    <w:rsid w:val="48B676D7"/>
    <w:rsid w:val="4B020017"/>
    <w:rsid w:val="52261CA9"/>
    <w:rsid w:val="60421676"/>
    <w:rsid w:val="609D6910"/>
    <w:rsid w:val="66516B3F"/>
    <w:rsid w:val="699A1B94"/>
    <w:rsid w:val="6C92316B"/>
    <w:rsid w:val="6F42206E"/>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2</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2018-12-30T09:32:00Z</cp:lastPrinted>
  <dcterms:modified xsi:type="dcterms:W3CDTF">2018-12-31T03:42:04Z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