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rPr>
      </w:pPr>
    </w:p>
    <w:p>
      <w:pPr>
        <w:jc w:val="center"/>
        <w:rPr>
          <w:rFonts w:hint="eastAsia"/>
          <w:sz w:val="84"/>
          <w:szCs w:val="84"/>
        </w:rPr>
      </w:pPr>
    </w:p>
    <w:p>
      <w:pPr>
        <w:jc w:val="center"/>
        <w:rPr>
          <w:rFonts w:hint="eastAsia"/>
          <w:sz w:val="84"/>
          <w:szCs w:val="84"/>
        </w:rPr>
      </w:pPr>
    </w:p>
    <w:p>
      <w:pPr>
        <w:rPr>
          <w:rFonts w:hint="eastAsia"/>
        </w:rPr>
      </w:pPr>
      <w:r>
        <w:rPr>
          <w:rFonts w:hint="eastAsia"/>
        </w:rPr>
        <w:t xml:space="preserve">                             </w:t>
      </w:r>
    </w:p>
    <w:p>
      <w:pPr>
        <w:rPr>
          <w:rFonts w:hint="eastAsia"/>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乃东区委办公室</w:t>
      </w: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2016年部门决算</w:t>
      </w: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rPr>
          <w:rFonts w:hint="eastAsia" w:ascii="仿宋_GB2312" w:hAnsi="仿宋_GB2312" w:eastAsia="仿宋_GB2312" w:cs="仿宋_GB2312"/>
          <w:sz w:val="32"/>
          <w:szCs w:val="32"/>
        </w:rPr>
      </w:pPr>
    </w:p>
    <w:p>
      <w:pPr>
        <w:numPr>
          <w:ilvl w:val="0"/>
          <w:numId w:val="1"/>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乃东区办公室概况</w:t>
      </w:r>
    </w:p>
    <w:p>
      <w:pPr>
        <w:numPr>
          <w:ilvl w:val="0"/>
          <w:numId w:val="2"/>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w:t>
      </w:r>
    </w:p>
    <w:p>
      <w:p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二、区委办公室不设内设机构。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乃东区委办公室2016年部门决算表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部门收支总表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部门收入总表</w:t>
      </w:r>
    </w:p>
    <w:p>
      <w:pPr>
        <w:numPr>
          <w:ilvl w:val="0"/>
          <w:numId w:val="3"/>
        </w:numPr>
        <w:ind w:firstLine="838" w:firstLineChars="2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部门支出总表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乃东区委办公室2016年部门决算数据分析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名称解释</w:t>
      </w:r>
    </w:p>
    <w:p>
      <w:pPr>
        <w:jc w:val="center"/>
        <w:rPr>
          <w:rFonts w:hint="eastAsia"/>
          <w:sz w:val="84"/>
          <w:szCs w:val="84"/>
        </w:rPr>
      </w:pPr>
    </w:p>
    <w:p>
      <w:pPr>
        <w:jc w:val="center"/>
        <w:rPr>
          <w:rFonts w:hint="eastAsia"/>
          <w:sz w:val="84"/>
          <w:szCs w:val="84"/>
        </w:rPr>
      </w:pPr>
    </w:p>
    <w:p>
      <w:pPr>
        <w:jc w:val="center"/>
        <w:rPr>
          <w:rFonts w:hint="eastAsia"/>
          <w:sz w:val="84"/>
          <w:szCs w:val="84"/>
        </w:rPr>
        <w:sectPr>
          <w:footerReference r:id="rId3" w:type="default"/>
          <w:pgSz w:w="11906" w:h="16838"/>
          <w:pgMar w:top="1440" w:right="1800" w:bottom="1440" w:left="1800" w:header="851" w:footer="992" w:gutter="0"/>
          <w:pgNumType w:start="1"/>
          <w:cols w:space="720" w:num="1"/>
          <w:docGrid w:type="lines" w:linePitch="312" w:charSpace="0"/>
        </w:sectPr>
      </w:pPr>
    </w:p>
    <w:p>
      <w:pPr>
        <w:jc w:val="center"/>
        <w:rPr>
          <w:rFonts w:hint="eastAsia"/>
          <w:sz w:val="84"/>
          <w:szCs w:val="84"/>
        </w:rPr>
      </w:pPr>
    </w:p>
    <w:p>
      <w:pPr>
        <w:jc w:val="center"/>
        <w:rPr>
          <w:rFonts w:hint="eastAsia"/>
          <w:sz w:val="84"/>
          <w:szCs w:val="84"/>
        </w:rPr>
      </w:pPr>
    </w:p>
    <w:p>
      <w:pPr>
        <w:jc w:val="center"/>
        <w:rPr>
          <w:rFonts w:hint="eastAsia"/>
          <w:sz w:val="84"/>
          <w:szCs w:val="84"/>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第一部分</w:t>
      </w:r>
    </w:p>
    <w:p>
      <w:pPr>
        <w:rPr>
          <w:rFonts w:hint="eastAsia"/>
        </w:rPr>
      </w:pPr>
      <w:r>
        <w:rPr>
          <w:rFonts w:hint="eastAsia"/>
        </w:rPr>
        <w:t xml:space="preserve">                             </w:t>
      </w:r>
    </w:p>
    <w:p>
      <w:pPr>
        <w:rPr>
          <w:rFonts w:hint="eastAsia"/>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乃东区委办公室概况</w:t>
      </w: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乃东区委办公室概况</w:t>
      </w:r>
    </w:p>
    <w:p>
      <w:pPr>
        <w:rPr>
          <w:rFonts w:hint="eastAsia" w:ascii="黑体" w:hAnsi="黑体" w:eastAsia="黑体" w:cs="黑体"/>
          <w:sz w:val="32"/>
          <w:szCs w:val="32"/>
        </w:rPr>
      </w:pPr>
      <w:r>
        <w:rPr>
          <w:rFonts w:hint="eastAsia" w:ascii="黑体" w:hAnsi="黑体" w:eastAsia="黑体" w:cs="黑体"/>
          <w:sz w:val="32"/>
          <w:szCs w:val="32"/>
        </w:rPr>
        <w:t>一、主要职责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具体负责全区贯彻落实中央、区党委、市委方针、政策、指示的情况了解与分析工作：负责区委重大决策部署和重要会议精神传输、发布和协调贯彻工作：负责区委与市委有关部门及对口援助的地（市）的练习工作：保证区委日常工作的运转：承担区委及领导的同志的后勤服务和事物管理工作：协调区人大、政府、政协办公部门的工作：开展调查研究，为区委决策提供参考依据。</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负责区委的文电、机要、档案工作。</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收集、处理全区的重要信息。承担向市委和区委报送信息工作，为各乡镇和各部门提供信息服务。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4、督促检查中央、区党委和市委重要会议、文件、指示和重要工作部署的贯彻落实情况，办理市委和区委领导同志的批示：办理去人大、政府、政协转交的与区委系统有关的意见、建议和提案。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5、负责驻区党政军机关及要害部门核心秘密文件和物件的安全传递工作。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6、承办区委会议的会务工作和后勤工作、负责区委及区委办公室的接待工作。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7、负责全区保密工作，组织实施《保密法》等法规，开展保密宣传教育，督促检查全区党政机关、企事业单位保密工作，查处失、泄密案件，承担去保密委员会的工作。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8、负责全区党委系统及区委信息网络的传输、利用和管理、指导。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9、负责制定全区党史、地方志工作规划和全区党史地方志资料的征集及管理，组织志书编纂、审查验收、出版、发行事宜，指导协调管理全区党史、地方志工作。</w:t>
      </w:r>
    </w:p>
    <w:p>
      <w:pPr>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10、承办区委及领导交办的其他事项。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11、承担区委政策研究和区委农村工作。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12、管理区纸质书机关党委。</w:t>
      </w:r>
    </w:p>
    <w:p>
      <w:pPr>
        <w:rPr>
          <w:rFonts w:hint="eastAsia" w:ascii="黑体" w:hAnsi="黑体" w:eastAsia="黑体" w:cs="黑体"/>
          <w:sz w:val="32"/>
          <w:szCs w:val="32"/>
        </w:rPr>
      </w:pPr>
      <w:r>
        <w:rPr>
          <w:rFonts w:hint="eastAsia" w:ascii="黑体" w:hAnsi="黑体" w:eastAsia="黑体" w:cs="黑体"/>
          <w:sz w:val="32"/>
          <w:szCs w:val="32"/>
        </w:rPr>
        <w:t>二、区委办公室不设内设机构。</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 xml:space="preserve">乃东区委办公室 </w:t>
      </w: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07"/>
        <w:gridCol w:w="1350"/>
        <w:gridCol w:w="2111"/>
        <w:gridCol w:w="337"/>
        <w:gridCol w:w="1711"/>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2957"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2111"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337"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925"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2957"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373"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7,844,499.50</w:t>
            </w: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2,844,499.50</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rPr>
        <w:tc>
          <w:tcPr>
            <w:tcW w:w="16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21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3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8"/>
        <w:gridCol w:w="2066"/>
        <w:gridCol w:w="2353"/>
        <w:gridCol w:w="1350"/>
        <w:gridCol w:w="1290"/>
        <w:gridCol w:w="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0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993"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党委办公厅（室）及相关机构事务</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2013101</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2,630,499.50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2013199</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其他党委办公厅（室）及相关机构事务支出</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农村综合改革</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9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2130799</w:t>
            </w:r>
          </w:p>
        </w:tc>
        <w:tc>
          <w:tcPr>
            <w:tcW w:w="20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其他农村综合改革支出</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30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3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5,214,000.00</w:t>
            </w:r>
          </w:p>
        </w:tc>
        <w:tc>
          <w:tcPr>
            <w:tcW w:w="32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15"/>
        <w:gridCol w:w="1556"/>
        <w:gridCol w:w="3118"/>
        <w:gridCol w:w="1300"/>
        <w:gridCol w:w="1089"/>
        <w:gridCol w:w="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shd w:val="clear"/>
            <w:vAlign w:val="center"/>
          </w:tcPr>
          <w:p>
            <w:pPr>
              <w:jc w:val="both"/>
              <w:rPr>
                <w:rFonts w:hint="eastAsia" w:ascii="宋体" w:hAnsi="宋体" w:eastAsia="宋体" w:cs="宋体"/>
                <w:i w:val="0"/>
                <w:color w:val="000000"/>
                <w:sz w:val="21"/>
                <w:szCs w:val="21"/>
                <w:u w:val="none"/>
              </w:rPr>
            </w:pPr>
          </w:p>
        </w:tc>
        <w:tc>
          <w:tcPr>
            <w:tcW w:w="1556" w:type="dxa"/>
            <w:shd w:val="clear"/>
            <w:vAlign w:val="center"/>
          </w:tcPr>
          <w:p>
            <w:pPr>
              <w:rPr>
                <w:rFonts w:hint="eastAsia" w:ascii="宋体" w:hAnsi="宋体" w:eastAsia="宋体" w:cs="宋体"/>
                <w:i w:val="0"/>
                <w:color w:val="000000"/>
                <w:sz w:val="22"/>
                <w:szCs w:val="22"/>
                <w:u w:val="none"/>
              </w:rPr>
            </w:pPr>
          </w:p>
        </w:tc>
        <w:tc>
          <w:tcPr>
            <w:tcW w:w="3118" w:type="dxa"/>
            <w:shd w:val="clear"/>
            <w:vAlign w:val="center"/>
          </w:tcPr>
          <w:p>
            <w:pPr>
              <w:rPr>
                <w:rFonts w:hint="eastAsia" w:ascii="宋体" w:hAnsi="宋体" w:eastAsia="宋体" w:cs="宋体"/>
                <w:i w:val="0"/>
                <w:color w:val="000000"/>
                <w:sz w:val="22"/>
                <w:szCs w:val="22"/>
                <w:u w:val="none"/>
              </w:rPr>
            </w:pPr>
          </w:p>
        </w:tc>
        <w:tc>
          <w:tcPr>
            <w:tcW w:w="1300" w:type="dxa"/>
            <w:shd w:val="clear"/>
            <w:vAlign w:val="center"/>
          </w:tcPr>
          <w:p>
            <w:pPr>
              <w:rPr>
                <w:rFonts w:hint="eastAsia" w:ascii="宋体" w:hAnsi="宋体" w:eastAsia="宋体" w:cs="宋体"/>
                <w:i w:val="0"/>
                <w:color w:val="000000"/>
                <w:sz w:val="22"/>
                <w:szCs w:val="22"/>
                <w:u w:val="none"/>
              </w:rPr>
            </w:pPr>
          </w:p>
        </w:tc>
        <w:tc>
          <w:tcPr>
            <w:tcW w:w="1441"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4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50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3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1,717,289.50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1,717,289.50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438,360.00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438,360.00</w:t>
            </w:r>
          </w:p>
        </w:tc>
        <w:tc>
          <w:tcPr>
            <w:tcW w:w="1089" w:type="dxa"/>
            <w:shd w:val="clear"/>
            <w:vAlign w:val="center"/>
          </w:tcPr>
          <w:p>
            <w:pPr>
              <w:rPr>
                <w:rFonts w:hint="eastAsia" w:ascii="宋体" w:hAnsi="宋体" w:eastAsia="宋体" w:cs="宋体"/>
                <w:i w:val="0"/>
                <w:color w:val="000000"/>
                <w:sz w:val="22"/>
                <w:szCs w:val="22"/>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1,276,829.50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1,276,829.50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2,100.00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801,385.00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801,385.00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411,661.70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411,661.70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193,950.58</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193,950.58</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41,149.00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41,149.00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12,156.00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19,295.00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19,295.00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56"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21,058.00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36,044.00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36,044.00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118"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66,070.72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66,070.72</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111,825.00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111,825.00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111,715.00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111,715.00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47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1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2,630,499.50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1,829,114.50 </w:t>
            </w:r>
          </w:p>
        </w:tc>
        <w:tc>
          <w:tcPr>
            <w:tcW w:w="10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801,385.00</w:t>
            </w:r>
          </w:p>
        </w:tc>
        <w:tc>
          <w:tcPr>
            <w:tcW w:w="3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66,670.72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66,670.72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66,670.72</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66,670.72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66,670.72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66,670.72</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388"/>
        <w:gridCol w:w="2652"/>
        <w:gridCol w:w="1939"/>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2388" w:type="dxa"/>
            <w:shd w:val="clear"/>
            <w:vAlign w:val="center"/>
          </w:tcPr>
          <w:p>
            <w:pPr>
              <w:jc w:val="left"/>
              <w:rPr>
                <w:rFonts w:hint="eastAsia" w:ascii="宋体" w:hAnsi="宋体" w:eastAsia="宋体" w:cs="宋体"/>
                <w:i w:val="0"/>
                <w:color w:val="000000"/>
                <w:sz w:val="21"/>
                <w:szCs w:val="21"/>
                <w:u w:val="none"/>
              </w:rPr>
            </w:pPr>
          </w:p>
        </w:tc>
        <w:tc>
          <w:tcPr>
            <w:tcW w:w="2652" w:type="dxa"/>
            <w:shd w:val="clear"/>
            <w:vAlign w:val="center"/>
          </w:tcPr>
          <w:p>
            <w:pPr>
              <w:rPr>
                <w:rFonts w:hint="eastAsia" w:ascii="宋体" w:hAnsi="宋体" w:eastAsia="宋体" w:cs="宋体"/>
                <w:i w:val="0"/>
                <w:color w:val="000000"/>
                <w:sz w:val="22"/>
                <w:szCs w:val="22"/>
                <w:u w:val="none"/>
              </w:rPr>
            </w:pPr>
          </w:p>
        </w:tc>
        <w:tc>
          <w:tcPr>
            <w:tcW w:w="1939" w:type="dxa"/>
            <w:shd w:val="clear"/>
            <w:vAlign w:val="center"/>
          </w:tcPr>
          <w:p>
            <w:pPr>
              <w:rPr>
                <w:rFonts w:hint="eastAsia" w:ascii="宋体" w:hAnsi="宋体" w:eastAsia="宋体" w:cs="宋体"/>
                <w:i w:val="0"/>
                <w:color w:val="000000"/>
                <w:sz w:val="22"/>
                <w:szCs w:val="22"/>
                <w:u w:val="none"/>
              </w:rPr>
            </w:pPr>
          </w:p>
        </w:tc>
        <w:tc>
          <w:tcPr>
            <w:tcW w:w="1351"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504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29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7,844,499.50</w:t>
            </w: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2,844,499.50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652"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7,844,499.50</w:t>
            </w: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55" w:hRule="atLeast"/>
        </w:trPr>
        <w:tc>
          <w:tcPr>
            <w:tcW w:w="2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6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7,844,499.50 </w:t>
            </w:r>
          </w:p>
        </w:tc>
        <w:tc>
          <w:tcPr>
            <w:tcW w:w="19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3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7,844,499.50 </w:t>
            </w: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3"/>
        <w:gridCol w:w="1184"/>
        <w:gridCol w:w="1290"/>
        <w:gridCol w:w="332"/>
        <w:gridCol w:w="1413"/>
        <w:gridCol w:w="760"/>
        <w:gridCol w:w="332"/>
        <w:gridCol w:w="456"/>
        <w:gridCol w:w="394"/>
        <w:gridCol w:w="456"/>
        <w:gridCol w:w="332"/>
        <w:gridCol w:w="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184"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332" w:type="dxa"/>
            <w:shd w:val="clear"/>
            <w:vAlign w:val="center"/>
          </w:tcPr>
          <w:p>
            <w:pPr>
              <w:rPr>
                <w:rFonts w:hint="eastAsia" w:ascii="宋体" w:hAnsi="宋体" w:eastAsia="宋体" w:cs="宋体"/>
                <w:i w:val="0"/>
                <w:color w:val="000000"/>
                <w:sz w:val="22"/>
                <w:szCs w:val="22"/>
                <w:u w:val="none"/>
              </w:rPr>
            </w:pPr>
          </w:p>
        </w:tc>
        <w:tc>
          <w:tcPr>
            <w:tcW w:w="1413" w:type="dxa"/>
            <w:shd w:val="clear"/>
            <w:vAlign w:val="center"/>
          </w:tcPr>
          <w:p>
            <w:pPr>
              <w:rPr>
                <w:rFonts w:hint="eastAsia" w:ascii="宋体" w:hAnsi="宋体" w:eastAsia="宋体" w:cs="宋体"/>
                <w:i w:val="0"/>
                <w:color w:val="000000"/>
                <w:sz w:val="22"/>
                <w:szCs w:val="22"/>
                <w:u w:val="none"/>
              </w:rPr>
            </w:pPr>
          </w:p>
        </w:tc>
        <w:tc>
          <w:tcPr>
            <w:tcW w:w="760" w:type="dxa"/>
            <w:shd w:val="clear"/>
            <w:vAlign w:val="center"/>
          </w:tcPr>
          <w:p>
            <w:pPr>
              <w:rPr>
                <w:rFonts w:hint="eastAsia" w:ascii="宋体" w:hAnsi="宋体" w:eastAsia="宋体" w:cs="宋体"/>
                <w:i w:val="0"/>
                <w:color w:val="000000"/>
                <w:sz w:val="22"/>
                <w:szCs w:val="22"/>
                <w:u w:val="none"/>
              </w:rPr>
            </w:pPr>
          </w:p>
        </w:tc>
        <w:tc>
          <w:tcPr>
            <w:tcW w:w="332" w:type="dxa"/>
            <w:shd w:val="clear"/>
            <w:vAlign w:val="center"/>
          </w:tcPr>
          <w:p>
            <w:pPr>
              <w:rPr>
                <w:rFonts w:hint="eastAsia" w:ascii="宋体" w:hAnsi="宋体" w:eastAsia="宋体" w:cs="宋体"/>
                <w:i w:val="0"/>
                <w:color w:val="000000"/>
                <w:sz w:val="22"/>
                <w:szCs w:val="22"/>
                <w:u w:val="none"/>
              </w:rPr>
            </w:pPr>
          </w:p>
        </w:tc>
        <w:tc>
          <w:tcPr>
            <w:tcW w:w="456" w:type="dxa"/>
            <w:shd w:val="clear"/>
            <w:vAlign w:val="center"/>
          </w:tcPr>
          <w:p>
            <w:pPr>
              <w:rPr>
                <w:rFonts w:hint="eastAsia" w:ascii="宋体" w:hAnsi="宋体" w:eastAsia="宋体" w:cs="宋体"/>
                <w:i w:val="0"/>
                <w:color w:val="000000"/>
                <w:sz w:val="22"/>
                <w:szCs w:val="22"/>
                <w:u w:val="none"/>
              </w:rPr>
            </w:pPr>
          </w:p>
        </w:tc>
        <w:tc>
          <w:tcPr>
            <w:tcW w:w="394" w:type="dxa"/>
            <w:shd w:val="clear"/>
            <w:vAlign w:val="center"/>
          </w:tcPr>
          <w:p>
            <w:pPr>
              <w:rPr>
                <w:rFonts w:hint="eastAsia" w:ascii="宋体" w:hAnsi="宋体" w:eastAsia="宋体" w:cs="宋体"/>
                <w:i w:val="0"/>
                <w:color w:val="000000"/>
                <w:sz w:val="22"/>
                <w:szCs w:val="22"/>
                <w:u w:val="none"/>
              </w:rPr>
            </w:pPr>
          </w:p>
        </w:tc>
        <w:tc>
          <w:tcPr>
            <w:tcW w:w="456" w:type="dxa"/>
            <w:shd w:val="clear"/>
            <w:vAlign w:val="center"/>
          </w:tcPr>
          <w:p>
            <w:pPr>
              <w:rPr>
                <w:rFonts w:hint="eastAsia" w:ascii="宋体" w:hAnsi="宋体" w:eastAsia="宋体" w:cs="宋体"/>
                <w:i w:val="0"/>
                <w:color w:val="000000"/>
                <w:sz w:val="22"/>
                <w:szCs w:val="22"/>
                <w:u w:val="none"/>
              </w:rPr>
            </w:pPr>
          </w:p>
        </w:tc>
        <w:tc>
          <w:tcPr>
            <w:tcW w:w="880"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20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党委办公厅（室）及相关机构事务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2013101</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2,630,499.50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2,630,499.50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2013199</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其他党委办公厅（室）及相关机构事务支出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农村综合改革</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2130799</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其他农村综合改革支出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1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4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7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9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07"/>
        <w:gridCol w:w="1749"/>
        <w:gridCol w:w="1290"/>
        <w:gridCol w:w="1350"/>
        <w:gridCol w:w="1290"/>
        <w:gridCol w:w="560"/>
        <w:gridCol w:w="688"/>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330"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07" w:type="dxa"/>
            <w:shd w:val="clear"/>
            <w:vAlign w:val="center"/>
          </w:tcPr>
          <w:p>
            <w:pPr>
              <w:jc w:val="left"/>
              <w:rPr>
                <w:rFonts w:hint="eastAsia" w:ascii="宋体" w:hAnsi="宋体" w:eastAsia="宋体" w:cs="宋体"/>
                <w:i w:val="0"/>
                <w:color w:val="000000"/>
                <w:sz w:val="21"/>
                <w:szCs w:val="21"/>
                <w:u w:val="none"/>
              </w:rPr>
            </w:pPr>
          </w:p>
        </w:tc>
        <w:tc>
          <w:tcPr>
            <w:tcW w:w="1749"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560" w:type="dxa"/>
            <w:shd w:val="clear"/>
            <w:vAlign w:val="center"/>
          </w:tcPr>
          <w:p>
            <w:pPr>
              <w:rPr>
                <w:rFonts w:hint="eastAsia" w:ascii="宋体" w:hAnsi="宋体" w:eastAsia="宋体" w:cs="宋体"/>
                <w:i w:val="0"/>
                <w:color w:val="000000"/>
                <w:sz w:val="22"/>
                <w:szCs w:val="22"/>
                <w:u w:val="none"/>
              </w:rPr>
            </w:pPr>
          </w:p>
        </w:tc>
        <w:tc>
          <w:tcPr>
            <w:tcW w:w="1184"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6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党委办公厅（室）及相关机构事务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2013101</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2,630,499.50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2013199</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其他党委办公厅（室）及相关机构事务支出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214,000.00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农村综合改革</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9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2130799</w:t>
            </w:r>
          </w:p>
        </w:tc>
        <w:tc>
          <w:tcPr>
            <w:tcW w:w="17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其他农村综合改革支出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6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7,844,499.50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2,630,499.50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5,214,000.00</w:t>
            </w:r>
          </w:p>
        </w:tc>
        <w:tc>
          <w:tcPr>
            <w:tcW w:w="56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 xml:space="preserve">乃东区委办公室 </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2844499.5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5000000元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7844499.5元，</w:t>
      </w:r>
      <w:r>
        <w:rPr>
          <w:rFonts w:hint="eastAsia" w:ascii="仿宋_GB2312" w:hAnsi="仿宋_GB2312" w:eastAsia="仿宋_GB2312" w:cs="仿宋_GB2312"/>
          <w:color w:val="000000" w:themeColor="text1"/>
          <w:sz w:val="32"/>
          <w:szCs w:val="26"/>
          <w14:textFill>
            <w14:solidFill>
              <w14:schemeClr w14:val="tx1"/>
            </w14:solidFill>
          </w14:textFill>
        </w:rPr>
        <w:t>上年一般公共预算财政拨款支出24750143.1元，比上年同期增加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16905643.6</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2844499.5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36.26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63.74</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2844499.50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政府办公厅（室）及相关机构事务2844499.50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2630499.50</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1717289.5</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801385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111825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）其他党委办公厅（室）及相关机构事务支出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214000元。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农林水支出5000000元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1、农村综合改革支出50000元。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（1）其他农村综合改革支出50000元。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2630499.5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1717289.5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65.28</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801385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30.47</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111825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4.25</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66670.72元，实际支出66670.72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三公经费决算支出304859.55元，同比减少238188.83元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2015年公务接待费决算支出9021元，同比减少9021元。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66670.72</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66670.72</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2015年公务用车运行维护费决算支出275900.55，同比减少209229.83元。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2844499.5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5000000元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7844499.5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2844499.5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36.26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5000000元，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63.74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bookmarkStart w:id="0" w:name="_GoBack"/>
      <w:bookmarkEnd w:id="0"/>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5"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6990"/>
    <w:multiLevelType w:val="singleLevel"/>
    <w:tmpl w:val="A63C6990"/>
    <w:lvl w:ilvl="0" w:tentative="0">
      <w:start w:val="2"/>
      <w:numFmt w:val="decimal"/>
      <w:suff w:val="nothing"/>
      <w:lvlText w:val="%1、"/>
      <w:lvlJc w:val="left"/>
    </w:lvl>
  </w:abstractNum>
  <w:abstractNum w:abstractNumId="1">
    <w:nsid w:val="2D0DE9E6"/>
    <w:multiLevelType w:val="singleLevel"/>
    <w:tmpl w:val="2D0DE9E6"/>
    <w:lvl w:ilvl="0" w:tentative="0">
      <w:start w:val="1"/>
      <w:numFmt w:val="chineseCounting"/>
      <w:suff w:val="nothing"/>
      <w:lvlText w:val="%1、"/>
      <w:lvlJc w:val="left"/>
      <w:rPr>
        <w:rFonts w:hint="eastAsia"/>
      </w:rPr>
    </w:lvl>
  </w:abstractNum>
  <w:abstractNum w:abstractNumId="2">
    <w:nsid w:val="2DD0A523"/>
    <w:multiLevelType w:val="singleLevel"/>
    <w:tmpl w:val="2DD0A523"/>
    <w:lvl w:ilvl="0" w:tentative="0">
      <w:start w:val="1"/>
      <w:numFmt w:val="chineseCounting"/>
      <w:suff w:val="nothing"/>
      <w:lvlText w:val="%1、"/>
      <w:lvlJc w:val="left"/>
      <w:rPr>
        <w:rFonts w:hint="eastAsia"/>
      </w:rPr>
    </w:lvl>
  </w:abstractNum>
  <w:abstractNum w:abstractNumId="3">
    <w:nsid w:val="531C98D2"/>
    <w:multiLevelType w:val="singleLevel"/>
    <w:tmpl w:val="531C98D2"/>
    <w:lvl w:ilvl="0" w:tentative="0">
      <w:start w:val="1"/>
      <w:numFmt w:val="chineseCounting"/>
      <w:suff w:val="space"/>
      <w:lvlText w:val="第%1部分"/>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D9E79D6"/>
    <w:rsid w:val="26E57E8B"/>
    <w:rsid w:val="28265A2A"/>
    <w:rsid w:val="28D878CD"/>
    <w:rsid w:val="396D5533"/>
    <w:rsid w:val="3EDC4B6D"/>
    <w:rsid w:val="3EE36A25"/>
    <w:rsid w:val="43603CEB"/>
    <w:rsid w:val="44890A8C"/>
    <w:rsid w:val="45222F42"/>
    <w:rsid w:val="461360DA"/>
    <w:rsid w:val="472A34F9"/>
    <w:rsid w:val="48B676D7"/>
    <w:rsid w:val="4B020017"/>
    <w:rsid w:val="52261CA9"/>
    <w:rsid w:val="60421676"/>
    <w:rsid w:val="609D6910"/>
    <w:rsid w:val="66516B3F"/>
    <w:rsid w:val="699A1B94"/>
    <w:rsid w:val="6C92316B"/>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5</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2018-12-30T08:46:58Z</cp:lastPrinted>
  <dcterms:modified xsi:type="dcterms:W3CDTF">2018-12-30T09:07:35Z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