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rPr>
      </w:pPr>
    </w:p>
    <w:p>
      <w:pPr>
        <w:jc w:val="center"/>
        <w:rPr>
          <w:rFonts w:hint="eastAsia"/>
          <w:sz w:val="84"/>
          <w:szCs w:val="84"/>
        </w:rPr>
      </w:pPr>
    </w:p>
    <w:p>
      <w:pPr>
        <w:jc w:val="center"/>
        <w:rPr>
          <w:rFonts w:hint="eastAsia"/>
          <w:sz w:val="84"/>
          <w:szCs w:val="84"/>
        </w:rPr>
      </w:pPr>
    </w:p>
    <w:p>
      <w:pPr>
        <w:rPr>
          <w:rFonts w:hint="eastAsia"/>
        </w:rPr>
      </w:pPr>
      <w:r>
        <w:rPr>
          <w:rFonts w:hint="eastAsia"/>
        </w:rPr>
        <w:t xml:space="preserve">                             </w:t>
      </w:r>
    </w:p>
    <w:p>
      <w:pPr>
        <w:rPr>
          <w:rFonts w:hint="eastAsia"/>
        </w:rPr>
      </w:pP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乃东区卫生局（人口与计划生育委员会）</w:t>
      </w: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2016年部门决算</w:t>
      </w: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rPr>
          <w:rFonts w:hint="eastAsia" w:ascii="仿宋_GB2312" w:hAnsi="仿宋_GB2312" w:eastAsia="仿宋_GB2312" w:cs="仿宋_GB2312"/>
          <w:sz w:val="32"/>
          <w:szCs w:val="32"/>
        </w:rPr>
      </w:pP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乃东区卫生局（人口与计划生育委员会）概况</w:t>
      </w:r>
    </w:p>
    <w:p>
      <w:pPr>
        <w:numPr>
          <w:ilvl w:val="0"/>
          <w:numId w:val="2"/>
        </w:num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二、内设机构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乃东区卫生局（人口与计划生育委员会）2016年部门决算表</w:t>
      </w:r>
    </w:p>
    <w:p>
      <w:pPr>
        <w:numPr>
          <w:ilvl w:val="0"/>
          <w:numId w:val="3"/>
        </w:num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numPr>
          <w:ilvl w:val="0"/>
          <w:numId w:val="3"/>
        </w:num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numPr>
          <w:ilvl w:val="0"/>
          <w:numId w:val="3"/>
        </w:num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numPr>
          <w:ilvl w:val="0"/>
          <w:numId w:val="3"/>
        </w:num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numPr>
          <w:ilvl w:val="0"/>
          <w:numId w:val="3"/>
        </w:num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numPr>
          <w:ilvl w:val="0"/>
          <w:numId w:val="3"/>
        </w:num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部门收支总表</w:t>
      </w:r>
    </w:p>
    <w:p>
      <w:pPr>
        <w:numPr>
          <w:ilvl w:val="0"/>
          <w:numId w:val="3"/>
        </w:num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部门收入总表</w:t>
      </w:r>
    </w:p>
    <w:p>
      <w:pPr>
        <w:numPr>
          <w:ilvl w:val="0"/>
          <w:numId w:val="3"/>
        </w:numPr>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部门支出总表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乃东区卫生局（人口与计划生育委员会）2016年部门决算数据分析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名称解释</w:t>
      </w: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第一部分</w:t>
      </w:r>
    </w:p>
    <w:p>
      <w:pPr>
        <w:rPr>
          <w:rFonts w:hint="eastAsia"/>
        </w:rPr>
      </w:pPr>
      <w:r>
        <w:rPr>
          <w:rFonts w:hint="eastAsia"/>
        </w:rPr>
        <w:t xml:space="preserve">                             </w:t>
      </w:r>
    </w:p>
    <w:p>
      <w:pPr>
        <w:rPr>
          <w:rFonts w:hint="eastAsia"/>
        </w:rPr>
      </w:pP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乃东区卫生局（人口与计划生育委员会）概况</w:t>
      </w: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乃东区卫生局（人口与计划生育委员会）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概况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（一）贯彻执行党和国家卫生、人口和计划生育、食品药品工作的方针政策和法律法规，推进医药卫生体制改革，落实自治区有关卫生政策、标准和规范。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统筹规划协调全区卫生资源配置，拟定全区中长期发展规划和专项建设规划并组织实施；负责实施全区人口计生和优生优育中长期规划、年度计划和事业发展规划，对全区人口计生和优生优育规划执行情况进行监督和评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（三）组织实施农牧区卫生工作规划和政策措施，负责农牧区医疗制度的监督管理；组织实施社区卫生、妇幼卫生工作规划和政策措施，规划并指导社区卫生服务体系建设，负责妇幼保健的综合管理和监督。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（四）负责全区疾病预防控制工作，组织实施地方病及其他重大疾病预防、计划免疫工作规划及政策措施，协调有关部门对重大疾病实施预防与干预，发布法定报告传染病疫情信息。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负责全区卫生应急工作，制度全区卫生应急预案和措施，负责突发公共卫生事件监测预警和风险评估，指导实施突发公共卫生事件预防控制与应急处置，发布突发公共卫生事件应急处置信息；负责全区重大会议和重大活动的医疗卫生和医疗保健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（六）负责全区所有医疗机构医疗服务的全行业监督管理：负责落实医疗机构医疗服务、技术、医疗质量、职业道德和采供血机构管理的政策、规范、标准。</w:t>
      </w:r>
    </w:p>
    <w:p>
      <w:pPr>
        <w:numPr>
          <w:ilvl w:val="0"/>
          <w:numId w:val="4"/>
        </w:num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负责卫生行政执法工作，按照职责分工负责职业卫生、放射卫生、环境卫生和中小学卫生的监督管理，负责公共场所和饮用水的卫生安全监督管理，依法开展传染病防治监督．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（八）负责卫生人才队伍建设，组织拟订全区卫生人才发展规划，会同有关部门拟订卫生专业技术人员资格标准和聘任规范并组织实施。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负责基层建立流动计划生直信息共享和公共服务工作机制；促进计生和优生优育方针政策在教育、卫生、文化、就业和社会保障等工作中的衔接配合；监测计生和优生优育发展动态，提出发布计生和优生优育安全预警预报建议，负责优生优育的信息综合及信息化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（十）负责实施全区计生和优生优育宣传教育工作规划；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推动实施计生和优生优育工作的生殖健康促进计划，提高人口素质，协同有关部门降低孕产妇、婴儿死亡率和出生缺陷率。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（十一）负责实施优生优育科学研究的总体规划，依法管理优生优育技术服务工作，依法公布有关优生优育统计、信息分析工作，依法规划计划生育药具管理制度，编制药具需求计划、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（十二）承担全区爱国卫生运动委员会、区防治艾滋病工作委员会具体工作。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（十三）承办区政府交办的其他事项。</w:t>
      </w:r>
    </w:p>
    <w:p>
      <w:pPr>
        <w:ind w:firstLine="640"/>
        <w:rPr>
          <w:rFonts w:hint="eastAsia" w:ascii="黑体" w:hAnsi="黑体" w:eastAsia="黑体" w:cs="黑体"/>
          <w:sz w:val="32"/>
          <w:szCs w:val="32"/>
        </w:rPr>
      </w:pPr>
      <w:r>
        <w:rPr>
          <w:rFonts w:hint="eastAsia" w:ascii="黑体" w:hAnsi="黑体" w:eastAsia="黑体" w:cs="黑体"/>
          <w:sz w:val="32"/>
          <w:szCs w:val="32"/>
        </w:rPr>
        <w:t>二、内设机构</w:t>
      </w:r>
    </w:p>
    <w:p>
      <w:pPr>
        <w:rPr>
          <w:rFonts w:hint="eastAsia" w:ascii="黑体" w:hAnsi="黑体" w:eastAsia="黑体" w:cs="黑体"/>
          <w:sz w:val="32"/>
          <w:szCs w:val="32"/>
        </w:rPr>
      </w:pPr>
      <w:r>
        <w:rPr>
          <w:rFonts w:hint="eastAsia" w:ascii="仿宋_GB2312" w:hAnsi="仿宋_GB2312" w:eastAsia="仿宋_GB2312" w:cs="仿宋_GB2312"/>
          <w:sz w:val="32"/>
          <w:szCs w:val="32"/>
        </w:rPr>
        <w:t>乃东区卫生局（人口与计划</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第二部分</w:t>
      </w:r>
    </w:p>
    <w:p/>
    <w:p/>
    <w:p>
      <w:pPr>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 xml:space="preserve">乃东区卫生局（人口与计划生育委员会） </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201</w:t>
      </w:r>
      <w:r>
        <w:rPr>
          <w:rFonts w:hint="eastAsia" w:ascii="方正小标宋简体" w:hAnsi="方正小标宋简体" w:eastAsia="方正小标宋简体" w:cs="方正小标宋简体"/>
          <w:sz w:val="72"/>
          <w:szCs w:val="72"/>
          <w:lang w:val="en-US" w:eastAsia="zh-CN"/>
        </w:rPr>
        <w:t>6</w:t>
      </w:r>
      <w:r>
        <w:rPr>
          <w:rFonts w:hint="eastAsia" w:ascii="方正小标宋简体" w:hAnsi="方正小标宋简体" w:eastAsia="方正小标宋简体" w:cs="方正小标宋简体"/>
          <w:sz w:val="72"/>
          <w:szCs w:val="72"/>
        </w:rPr>
        <w:t>年部门预算表</w:t>
      </w:r>
    </w:p>
    <w:p>
      <w:pPr>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tbl>
      <w:tblPr>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09"/>
        <w:gridCol w:w="1460"/>
        <w:gridCol w:w="1937"/>
        <w:gridCol w:w="338"/>
        <w:gridCol w:w="1771"/>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330" w:type="dxa"/>
            <w:gridSpan w:val="6"/>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表1</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财政拨款收支决算总表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069"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937"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338"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986"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69"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61"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42,054,837.00</w:t>
            </w: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42,054,837.00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1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3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bl>
    <w:p/>
    <w:p/>
    <w:p/>
    <w:p/>
    <w:p/>
    <w:p/>
    <w:p/>
    <w:p/>
    <w:tbl>
      <w:tblPr>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09"/>
        <w:gridCol w:w="1857"/>
        <w:gridCol w:w="2481"/>
        <w:gridCol w:w="1460"/>
        <w:gridCol w:w="1395"/>
        <w:gridCol w:w="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8330" w:type="dxa"/>
            <w:gridSpan w:val="6"/>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表2</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330"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6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53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2016年决算数</w:t>
            </w:r>
          </w:p>
        </w:tc>
        <w:tc>
          <w:tcPr>
            <w:tcW w:w="3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3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11,987,473.00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30,067,364.00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医疗卫生与计划生育管理事务</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1,634,420.00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1,227,620.00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406,800.00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2100101</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1,227,620.00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1,227,620.00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2100199</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其他医疗卫生与计划生育管理事务支出</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406,800.00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406,800.00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21002</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公立医院</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2100201</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综合医院</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基层医疗卫生机构</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7,415,917.00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6,001,917.00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1,414,000.00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2100302</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乡镇卫生院</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6,001,917.00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6,001,917.00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2100399</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其他基层医疗卫生机构支出</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1,414,000.00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1,414,000.00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公共卫生</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8,355,846.00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4,589,136.00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3,766,710.00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2100401</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疾病预防控制机构</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4,589,136.00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4,589,136.00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2100402</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卫生监督机构</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2100403</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妇幼保健机构</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2100404</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精神卫生机构</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2100408</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基本公共卫生服务</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2,125,300.00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2,125,300.00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2100409</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重大公共卫生专项</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1,035,610.00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1,035,610.00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2100499</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其他公共卫生支出</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369,300.00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369,300.00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医疗保障</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19,316,134.00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19,316,134.00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2100501</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54,509.40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54,509.40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2100502</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事业单位医疗</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18,284.60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18,284.60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2100506</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新型农村合作医疗</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16,727,700.00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16,727,700.00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2100510</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疾病应急救助</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2100599</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其他医疗保障支出</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2,095,640.00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2,095,640.00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21006</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中医药</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2100601</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中医（民族医）药专项</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计划生育事务</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2100799</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食品和药品监督管理事务</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433,800.00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168,800.00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2101001</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168,800.00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168,800.00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2101099</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其他食品和药品监督管理事务支出</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6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11,987,473.00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30,067,364.00</w:t>
            </w:r>
          </w:p>
        </w:tc>
        <w:tc>
          <w:tcPr>
            <w:tcW w:w="3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330" w:type="dxa"/>
            <w:gridSpan w:val="6"/>
            <w:tcBorders>
              <w:top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Fonts w:hint="eastAsia" w:ascii="宋体" w:hAnsi="宋体" w:eastAsia="宋体" w:cs="宋体"/>
                <w:b/>
                <w:i w:val="0"/>
                <w:color w:val="000000"/>
                <w:kern w:val="0"/>
                <w:sz w:val="24"/>
                <w:szCs w:val="24"/>
                <w:u w:val="none"/>
                <w:lang w:val="en-US" w:eastAsia="zh-CN" w:bidi="ar"/>
              </w:rPr>
              <w:t>项级</w:t>
            </w:r>
            <w:r>
              <w:rPr>
                <w:rFonts w:hint="eastAsia" w:ascii="宋体" w:hAnsi="宋体" w:eastAsia="宋体" w:cs="宋体"/>
                <w:i w:val="0"/>
                <w:color w:val="000000"/>
                <w:kern w:val="0"/>
                <w:sz w:val="24"/>
                <w:szCs w:val="24"/>
                <w:u w:val="none"/>
                <w:lang w:val="en-US" w:eastAsia="zh-CN" w:bidi="ar"/>
              </w:rPr>
              <w:t>科目</w:t>
            </w:r>
          </w:p>
        </w:tc>
      </w:tr>
    </w:tbl>
    <w:p/>
    <w:p/>
    <w:p/>
    <w:p/>
    <w:p/>
    <w:p/>
    <w:p/>
    <w:p/>
    <w:p/>
    <w:p/>
    <w:p/>
    <w:p/>
    <w:p/>
    <w:p/>
    <w:p/>
    <w:p/>
    <w:p/>
    <w:p/>
    <w:p/>
    <w:p/>
    <w:p/>
    <w:p/>
    <w:p/>
    <w:p/>
    <w:p/>
    <w:p/>
    <w:tbl>
      <w:tblPr>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13"/>
        <w:gridCol w:w="2379"/>
        <w:gridCol w:w="2187"/>
        <w:gridCol w:w="1406"/>
        <w:gridCol w:w="1300"/>
        <w:gridCol w:w="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8330" w:type="dxa"/>
            <w:gridSpan w:val="6"/>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表3</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shd w:val="clear"/>
            <w:vAlign w:val="center"/>
          </w:tcPr>
          <w:p>
            <w:pPr>
              <w:jc w:val="both"/>
              <w:rPr>
                <w:rFonts w:hint="eastAsia" w:ascii="宋体" w:hAnsi="宋体" w:eastAsia="宋体" w:cs="宋体"/>
                <w:i w:val="0"/>
                <w:color w:val="000000"/>
                <w:sz w:val="21"/>
                <w:szCs w:val="21"/>
                <w:u w:val="none"/>
              </w:rPr>
            </w:pPr>
          </w:p>
        </w:tc>
        <w:tc>
          <w:tcPr>
            <w:tcW w:w="2379" w:type="dxa"/>
            <w:shd w:val="clear"/>
            <w:vAlign w:val="center"/>
          </w:tcPr>
          <w:p>
            <w:pPr>
              <w:rPr>
                <w:rFonts w:hint="eastAsia" w:ascii="宋体" w:hAnsi="宋体" w:eastAsia="宋体" w:cs="宋体"/>
                <w:i w:val="0"/>
                <w:color w:val="000000"/>
                <w:sz w:val="22"/>
                <w:szCs w:val="22"/>
                <w:u w:val="none"/>
              </w:rPr>
            </w:pPr>
          </w:p>
        </w:tc>
        <w:tc>
          <w:tcPr>
            <w:tcW w:w="2187" w:type="dxa"/>
            <w:shd w:val="clear"/>
            <w:vAlign w:val="center"/>
          </w:tcPr>
          <w:p>
            <w:pPr>
              <w:rPr>
                <w:rFonts w:hint="eastAsia" w:ascii="宋体" w:hAnsi="宋体" w:eastAsia="宋体" w:cs="宋体"/>
                <w:i w:val="0"/>
                <w:color w:val="000000"/>
                <w:sz w:val="22"/>
                <w:szCs w:val="22"/>
                <w:u w:val="none"/>
              </w:rPr>
            </w:pPr>
          </w:p>
        </w:tc>
        <w:tc>
          <w:tcPr>
            <w:tcW w:w="1406" w:type="dxa"/>
            <w:shd w:val="clear"/>
            <w:vAlign w:val="center"/>
          </w:tcPr>
          <w:p>
            <w:pPr>
              <w:rPr>
                <w:rFonts w:hint="eastAsia" w:ascii="宋体" w:hAnsi="宋体" w:eastAsia="宋体" w:cs="宋体"/>
                <w:i w:val="0"/>
                <w:color w:val="000000"/>
                <w:sz w:val="22"/>
                <w:szCs w:val="22"/>
                <w:u w:val="none"/>
              </w:rPr>
            </w:pPr>
          </w:p>
        </w:tc>
        <w:tc>
          <w:tcPr>
            <w:tcW w:w="1645" w:type="dxa"/>
            <w:gridSpan w:val="2"/>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09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8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2016年基本支出</w:t>
            </w:r>
          </w:p>
        </w:tc>
        <w:tc>
          <w:tcPr>
            <w:tcW w:w="3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3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10,366,130.00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10,366,130.00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1,898,912.00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1,898,912.00</w:t>
            </w:r>
          </w:p>
        </w:tc>
        <w:tc>
          <w:tcPr>
            <w:tcW w:w="1300" w:type="dxa"/>
            <w:shd w:val="clear"/>
            <w:vAlign w:val="center"/>
          </w:tcPr>
          <w:p>
            <w:pPr>
              <w:rPr>
                <w:rFonts w:hint="eastAsia" w:ascii="宋体" w:hAnsi="宋体" w:eastAsia="宋体" w:cs="宋体"/>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6,314,228.00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6,314,228.00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30104</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社会保障缴费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30106</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伙食补助</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2,152,990.00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2,152,990.00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商品和服务支出</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1,335,546.00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1,335,546.00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486,336.00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486,336.00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105,869.00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105,869.00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30203</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咨询费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35,263.00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35,263.00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81,760.00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81,760.00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189,030.00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189,030.00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30208</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取暖费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51,622.00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51,622.00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30209</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物业管理费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152,034.00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152,034.00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30214</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379"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78,962.00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78,962.00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30224</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被装购置费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135,169.00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135,169.00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218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19,501.00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19,501.00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对个人与家庭的补助</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285,797.00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285,797.00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30303</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退职（役）费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30304</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抚恤金</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285,797.00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285,797.00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30307</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30308</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助学金</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30310</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生产补贴</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30311</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30313</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购房补贴</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2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其他对个人与家庭的补助</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09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2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11,987,473.00 </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10,651,927.00 </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1,335,546.00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
    <w:p/>
    <w:p/>
    <w:p/>
    <w:p/>
    <w:p/>
    <w:p/>
    <w:p/>
    <w:p/>
    <w:p/>
    <w:p/>
    <w:p/>
    <w:p/>
    <w:p/>
    <w:p/>
    <w:p/>
    <w:p/>
    <w:p/>
    <w:p/>
    <w:p/>
    <w:p/>
    <w:p/>
    <w:p/>
    <w:p/>
    <w:p/>
    <w:p/>
    <w:p/>
    <w:tbl>
      <w:tblPr>
        <w:tblStyle w:val="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2"/>
        <w:gridCol w:w="387"/>
        <w:gridCol w:w="1103"/>
        <w:gridCol w:w="209"/>
        <w:gridCol w:w="1154"/>
        <w:gridCol w:w="209"/>
        <w:gridCol w:w="1103"/>
        <w:gridCol w:w="388"/>
        <w:gridCol w:w="1103"/>
        <w:gridCol w:w="209"/>
        <w:gridCol w:w="1154"/>
        <w:gridCol w:w="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02" w:type="dxa"/>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表4</w:t>
            </w:r>
          </w:p>
        </w:tc>
        <w:tc>
          <w:tcPr>
            <w:tcW w:w="7228" w:type="dxa"/>
            <w:gridSpan w:val="11"/>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102" w:type="dxa"/>
            <w:shd w:val="clear" w:color="auto" w:fill="auto"/>
            <w:vAlign w:val="center"/>
          </w:tcPr>
          <w:p>
            <w:pPr>
              <w:rPr>
                <w:rFonts w:hint="eastAsia" w:ascii="宋体" w:hAnsi="宋体" w:eastAsia="宋体" w:cs="宋体"/>
                <w:i w:val="0"/>
                <w:color w:val="000000"/>
                <w:sz w:val="21"/>
                <w:szCs w:val="21"/>
                <w:u w:val="none"/>
              </w:rPr>
            </w:pPr>
          </w:p>
        </w:tc>
        <w:tc>
          <w:tcPr>
            <w:tcW w:w="387" w:type="dxa"/>
            <w:shd w:val="clear" w:color="auto" w:fill="auto"/>
            <w:vAlign w:val="center"/>
          </w:tcPr>
          <w:p>
            <w:pPr>
              <w:rPr>
                <w:rFonts w:hint="eastAsia" w:ascii="宋体" w:hAnsi="宋体" w:eastAsia="宋体" w:cs="宋体"/>
                <w:i w:val="0"/>
                <w:color w:val="000000"/>
                <w:sz w:val="22"/>
                <w:szCs w:val="22"/>
                <w:u w:val="none"/>
              </w:rPr>
            </w:pPr>
          </w:p>
        </w:tc>
        <w:tc>
          <w:tcPr>
            <w:tcW w:w="1103" w:type="dxa"/>
            <w:shd w:val="clear" w:color="auto" w:fill="auto"/>
            <w:vAlign w:val="center"/>
          </w:tcPr>
          <w:p>
            <w:pPr>
              <w:rPr>
                <w:rFonts w:hint="eastAsia" w:ascii="宋体" w:hAnsi="宋体" w:eastAsia="宋体" w:cs="宋体"/>
                <w:i w:val="0"/>
                <w:color w:val="000000"/>
                <w:sz w:val="22"/>
                <w:szCs w:val="22"/>
                <w:u w:val="none"/>
              </w:rPr>
            </w:pPr>
          </w:p>
        </w:tc>
        <w:tc>
          <w:tcPr>
            <w:tcW w:w="209" w:type="dxa"/>
            <w:shd w:val="clear" w:color="auto" w:fill="auto"/>
            <w:vAlign w:val="center"/>
          </w:tcPr>
          <w:p>
            <w:pPr>
              <w:rPr>
                <w:rFonts w:hint="eastAsia" w:ascii="宋体" w:hAnsi="宋体" w:eastAsia="宋体" w:cs="宋体"/>
                <w:i w:val="0"/>
                <w:color w:val="000000"/>
                <w:sz w:val="22"/>
                <w:szCs w:val="22"/>
                <w:u w:val="none"/>
              </w:rPr>
            </w:pPr>
          </w:p>
        </w:tc>
        <w:tc>
          <w:tcPr>
            <w:tcW w:w="1154" w:type="dxa"/>
            <w:shd w:val="clear" w:color="auto" w:fill="auto"/>
            <w:vAlign w:val="center"/>
          </w:tcPr>
          <w:p>
            <w:pPr>
              <w:rPr>
                <w:rFonts w:hint="eastAsia" w:ascii="宋体" w:hAnsi="宋体" w:eastAsia="宋体" w:cs="宋体"/>
                <w:i w:val="0"/>
                <w:color w:val="000000"/>
                <w:sz w:val="22"/>
                <w:szCs w:val="22"/>
                <w:u w:val="none"/>
              </w:rPr>
            </w:pPr>
          </w:p>
        </w:tc>
        <w:tc>
          <w:tcPr>
            <w:tcW w:w="209" w:type="dxa"/>
            <w:shd w:val="clear" w:color="auto" w:fill="auto"/>
            <w:vAlign w:val="center"/>
          </w:tcPr>
          <w:p>
            <w:pPr>
              <w:rPr>
                <w:rFonts w:hint="eastAsia" w:ascii="宋体" w:hAnsi="宋体" w:eastAsia="宋体" w:cs="宋体"/>
                <w:i w:val="0"/>
                <w:color w:val="000000"/>
                <w:sz w:val="22"/>
                <w:szCs w:val="22"/>
                <w:u w:val="none"/>
              </w:rPr>
            </w:pPr>
          </w:p>
        </w:tc>
        <w:tc>
          <w:tcPr>
            <w:tcW w:w="1103" w:type="dxa"/>
            <w:shd w:val="clear" w:color="auto" w:fill="auto"/>
            <w:vAlign w:val="center"/>
          </w:tcPr>
          <w:p>
            <w:pPr>
              <w:rPr>
                <w:rFonts w:hint="eastAsia" w:ascii="宋体" w:hAnsi="宋体" w:eastAsia="宋体" w:cs="宋体"/>
                <w:i w:val="0"/>
                <w:color w:val="000000"/>
                <w:sz w:val="22"/>
                <w:szCs w:val="22"/>
                <w:u w:val="none"/>
              </w:rPr>
            </w:pPr>
          </w:p>
        </w:tc>
        <w:tc>
          <w:tcPr>
            <w:tcW w:w="388" w:type="dxa"/>
            <w:shd w:val="clear" w:color="auto" w:fill="auto"/>
            <w:vAlign w:val="center"/>
          </w:tcPr>
          <w:p>
            <w:pPr>
              <w:rPr>
                <w:rFonts w:hint="eastAsia" w:ascii="宋体" w:hAnsi="宋体" w:eastAsia="宋体" w:cs="宋体"/>
                <w:i w:val="0"/>
                <w:color w:val="000000"/>
                <w:sz w:val="22"/>
                <w:szCs w:val="22"/>
                <w:u w:val="none"/>
              </w:rPr>
            </w:pPr>
          </w:p>
        </w:tc>
        <w:tc>
          <w:tcPr>
            <w:tcW w:w="1103" w:type="dxa"/>
            <w:shd w:val="clear" w:color="auto" w:fill="auto"/>
            <w:vAlign w:val="center"/>
          </w:tcPr>
          <w:p>
            <w:pPr>
              <w:rPr>
                <w:rFonts w:hint="eastAsia" w:ascii="宋体" w:hAnsi="宋体" w:eastAsia="宋体" w:cs="宋体"/>
                <w:i w:val="0"/>
                <w:color w:val="000000"/>
                <w:sz w:val="22"/>
                <w:szCs w:val="22"/>
                <w:u w:val="none"/>
              </w:rPr>
            </w:pPr>
          </w:p>
        </w:tc>
        <w:tc>
          <w:tcPr>
            <w:tcW w:w="209" w:type="dxa"/>
            <w:shd w:val="clear" w:color="auto" w:fill="auto"/>
            <w:vAlign w:val="center"/>
          </w:tcPr>
          <w:p>
            <w:pPr>
              <w:rPr>
                <w:rFonts w:hint="eastAsia" w:ascii="宋体" w:hAnsi="宋体" w:eastAsia="宋体" w:cs="宋体"/>
                <w:i w:val="0"/>
                <w:color w:val="000000"/>
                <w:sz w:val="22"/>
                <w:szCs w:val="22"/>
                <w:u w:val="none"/>
              </w:rPr>
            </w:pPr>
          </w:p>
        </w:tc>
        <w:tc>
          <w:tcPr>
            <w:tcW w:w="1363" w:type="dxa"/>
            <w:gridSpan w:val="2"/>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41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 年预算数</w:t>
            </w:r>
          </w:p>
        </w:tc>
        <w:tc>
          <w:tcPr>
            <w:tcW w:w="41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19,501.00 </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19,501.00 </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5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19,501.00</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19,501.00 </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19,501.00 </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5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19,501.00</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
    <w:p/>
    <w:p/>
    <w:p/>
    <w:p/>
    <w:p/>
    <w:p/>
    <w:p/>
    <w:tbl>
      <w:tblPr>
        <w:tblStyle w:val="7"/>
        <w:tblW w:w="83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9"/>
        <w:gridCol w:w="1487"/>
        <w:gridCol w:w="1321"/>
        <w:gridCol w:w="1417"/>
        <w:gridCol w:w="118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8330"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表5</w:t>
            </w:r>
          </w:p>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政府性基金支出决算表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5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487" w:type="dxa"/>
            <w:shd w:val="clear" w:color="auto" w:fill="auto"/>
            <w:vAlign w:val="center"/>
          </w:tcPr>
          <w:p>
            <w:pPr>
              <w:rPr>
                <w:rFonts w:hint="eastAsia" w:ascii="宋体" w:hAnsi="宋体" w:eastAsia="宋体" w:cs="宋体"/>
                <w:i w:val="0"/>
                <w:color w:val="000000"/>
                <w:sz w:val="22"/>
                <w:szCs w:val="22"/>
                <w:u w:val="none"/>
              </w:rPr>
            </w:pPr>
          </w:p>
        </w:tc>
        <w:tc>
          <w:tcPr>
            <w:tcW w:w="1321" w:type="dxa"/>
            <w:shd w:val="clear" w:color="auto" w:fill="auto"/>
            <w:vAlign w:val="center"/>
          </w:tcPr>
          <w:p>
            <w:pPr>
              <w:rPr>
                <w:rFonts w:hint="eastAsia" w:ascii="宋体" w:hAnsi="宋体" w:eastAsia="宋体" w:cs="宋体"/>
                <w:i w:val="0"/>
                <w:color w:val="000000"/>
                <w:sz w:val="22"/>
                <w:szCs w:val="22"/>
                <w:u w:val="none"/>
              </w:rPr>
            </w:pPr>
          </w:p>
        </w:tc>
        <w:tc>
          <w:tcPr>
            <w:tcW w:w="1417" w:type="dxa"/>
            <w:shd w:val="clear" w:color="auto" w:fill="auto"/>
            <w:vAlign w:val="center"/>
          </w:tcPr>
          <w:p>
            <w:pPr>
              <w:rPr>
                <w:rFonts w:hint="eastAsia" w:ascii="宋体" w:hAnsi="宋体" w:eastAsia="宋体" w:cs="宋体"/>
                <w:i w:val="0"/>
                <w:color w:val="000000"/>
                <w:sz w:val="22"/>
                <w:szCs w:val="22"/>
                <w:u w:val="none"/>
              </w:rPr>
            </w:pPr>
          </w:p>
        </w:tc>
        <w:tc>
          <w:tcPr>
            <w:tcW w:w="2596"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
    <w:p/>
    <w:p/>
    <w:tbl>
      <w:tblPr>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28"/>
        <w:gridCol w:w="2513"/>
        <w:gridCol w:w="2228"/>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330" w:type="dxa"/>
            <w:gridSpan w:val="4"/>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表6</w:t>
            </w:r>
          </w:p>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部门收支决算总表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128" w:type="dxa"/>
            <w:shd w:val="clear"/>
            <w:vAlign w:val="center"/>
          </w:tcPr>
          <w:p>
            <w:pPr>
              <w:jc w:val="left"/>
              <w:rPr>
                <w:rFonts w:hint="eastAsia" w:ascii="宋体" w:hAnsi="宋体" w:eastAsia="宋体" w:cs="宋体"/>
                <w:i w:val="0"/>
                <w:color w:val="000000"/>
                <w:sz w:val="21"/>
                <w:szCs w:val="21"/>
                <w:u w:val="none"/>
              </w:rPr>
            </w:pPr>
          </w:p>
        </w:tc>
        <w:tc>
          <w:tcPr>
            <w:tcW w:w="2513" w:type="dxa"/>
            <w:shd w:val="clear"/>
            <w:vAlign w:val="center"/>
          </w:tcPr>
          <w:p>
            <w:pPr>
              <w:rPr>
                <w:rFonts w:hint="eastAsia" w:ascii="宋体" w:hAnsi="宋体" w:eastAsia="宋体" w:cs="宋体"/>
                <w:i w:val="0"/>
                <w:color w:val="000000"/>
                <w:sz w:val="22"/>
                <w:szCs w:val="22"/>
                <w:u w:val="none"/>
              </w:rPr>
            </w:pPr>
          </w:p>
        </w:tc>
        <w:tc>
          <w:tcPr>
            <w:tcW w:w="2228" w:type="dxa"/>
            <w:shd w:val="clear"/>
            <w:vAlign w:val="center"/>
          </w:tcPr>
          <w:p>
            <w:pPr>
              <w:rPr>
                <w:rFonts w:hint="eastAsia" w:ascii="宋体" w:hAnsi="宋体" w:eastAsia="宋体" w:cs="宋体"/>
                <w:i w:val="0"/>
                <w:color w:val="000000"/>
                <w:sz w:val="22"/>
                <w:szCs w:val="22"/>
                <w:u w:val="none"/>
              </w:rPr>
            </w:pPr>
          </w:p>
        </w:tc>
        <w:tc>
          <w:tcPr>
            <w:tcW w:w="1461"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6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6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42,054,837.00</w:t>
            </w: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42,054,837.00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3F3F3F" w:sz="4" w:space="0"/>
              <w:left w:val="single" w:color="3F3F3F" w:sz="4" w:space="0"/>
              <w:bottom w:val="single" w:color="3F3F3F" w:sz="4" w:space="0"/>
              <w:right w:val="single" w:color="3F3F3F" w:sz="4" w:space="0"/>
            </w:tcBorders>
            <w:shd w:val="clear" w:color="auto" w:fill="F2F2F2"/>
            <w:vAlign w:val="center"/>
          </w:tcPr>
          <w:p>
            <w:pPr>
              <w:jc w:val="both"/>
              <w:rPr>
                <w:rFonts w:hint="eastAsia" w:ascii="宋体" w:hAnsi="宋体" w:eastAsia="宋体" w:cs="宋体"/>
                <w:b/>
                <w:i w:val="0"/>
                <w:color w:val="3F3F3F"/>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1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42,054,837.00</w:t>
            </w: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结转下年</w:t>
            </w: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42,054,837.00 </w:t>
            </w:r>
          </w:p>
        </w:tc>
        <w:tc>
          <w:tcPr>
            <w:tcW w:w="2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42,054,837.00 </w:t>
            </w:r>
          </w:p>
        </w:tc>
      </w:tr>
    </w:tbl>
    <w:p/>
    <w:p/>
    <w:p/>
    <w:p/>
    <w:tbl>
      <w:tblPr>
        <w:tblW w:w="96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80"/>
        <w:gridCol w:w="2099"/>
        <w:gridCol w:w="1562"/>
        <w:gridCol w:w="421"/>
        <w:gridCol w:w="1346"/>
        <w:gridCol w:w="555"/>
        <w:gridCol w:w="380"/>
        <w:gridCol w:w="535"/>
        <w:gridCol w:w="544"/>
        <w:gridCol w:w="493"/>
        <w:gridCol w:w="350"/>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jc w:val="center"/>
        </w:trPr>
        <w:tc>
          <w:tcPr>
            <w:tcW w:w="9662" w:type="dxa"/>
            <w:gridSpan w:val="12"/>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表7</w:t>
            </w:r>
          </w:p>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部门收入决算总表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2099" w:type="dxa"/>
            <w:shd w:val="clear"/>
            <w:vAlign w:val="center"/>
          </w:tcPr>
          <w:p>
            <w:pPr>
              <w:rPr>
                <w:rFonts w:hint="eastAsia" w:ascii="宋体" w:hAnsi="宋体" w:eastAsia="宋体" w:cs="宋体"/>
                <w:i w:val="0"/>
                <w:color w:val="000000"/>
                <w:sz w:val="22"/>
                <w:szCs w:val="22"/>
                <w:u w:val="none"/>
              </w:rPr>
            </w:pPr>
          </w:p>
        </w:tc>
        <w:tc>
          <w:tcPr>
            <w:tcW w:w="1562" w:type="dxa"/>
            <w:shd w:val="clear"/>
            <w:vAlign w:val="center"/>
          </w:tcPr>
          <w:p>
            <w:pPr>
              <w:rPr>
                <w:rFonts w:hint="eastAsia" w:ascii="宋体" w:hAnsi="宋体" w:eastAsia="宋体" w:cs="宋体"/>
                <w:i w:val="0"/>
                <w:color w:val="000000"/>
                <w:sz w:val="22"/>
                <w:szCs w:val="22"/>
                <w:u w:val="none"/>
              </w:rPr>
            </w:pPr>
          </w:p>
        </w:tc>
        <w:tc>
          <w:tcPr>
            <w:tcW w:w="421" w:type="dxa"/>
            <w:shd w:val="clear"/>
            <w:vAlign w:val="center"/>
          </w:tcPr>
          <w:p>
            <w:pPr>
              <w:rPr>
                <w:rFonts w:hint="eastAsia" w:ascii="宋体" w:hAnsi="宋体" w:eastAsia="宋体" w:cs="宋体"/>
                <w:i w:val="0"/>
                <w:color w:val="000000"/>
                <w:sz w:val="22"/>
                <w:szCs w:val="22"/>
                <w:u w:val="none"/>
              </w:rPr>
            </w:pPr>
          </w:p>
        </w:tc>
        <w:tc>
          <w:tcPr>
            <w:tcW w:w="1346" w:type="dxa"/>
            <w:shd w:val="clear"/>
            <w:vAlign w:val="center"/>
          </w:tcPr>
          <w:p>
            <w:pPr>
              <w:rPr>
                <w:rFonts w:hint="eastAsia" w:ascii="宋体" w:hAnsi="宋体" w:eastAsia="宋体" w:cs="宋体"/>
                <w:i w:val="0"/>
                <w:color w:val="000000"/>
                <w:sz w:val="22"/>
                <w:szCs w:val="22"/>
                <w:u w:val="none"/>
              </w:rPr>
            </w:pPr>
          </w:p>
        </w:tc>
        <w:tc>
          <w:tcPr>
            <w:tcW w:w="555" w:type="dxa"/>
            <w:shd w:val="clear"/>
            <w:vAlign w:val="center"/>
          </w:tcPr>
          <w:p>
            <w:pPr>
              <w:rPr>
                <w:rFonts w:hint="eastAsia" w:ascii="宋体" w:hAnsi="宋体" w:eastAsia="宋体" w:cs="宋体"/>
                <w:i w:val="0"/>
                <w:color w:val="000000"/>
                <w:sz w:val="22"/>
                <w:szCs w:val="22"/>
                <w:u w:val="none"/>
              </w:rPr>
            </w:pPr>
          </w:p>
        </w:tc>
        <w:tc>
          <w:tcPr>
            <w:tcW w:w="380" w:type="dxa"/>
            <w:shd w:val="clear"/>
            <w:vAlign w:val="center"/>
          </w:tcPr>
          <w:p>
            <w:pPr>
              <w:rPr>
                <w:rFonts w:hint="eastAsia" w:ascii="宋体" w:hAnsi="宋体" w:eastAsia="宋体" w:cs="宋体"/>
                <w:i w:val="0"/>
                <w:color w:val="000000"/>
                <w:sz w:val="22"/>
                <w:szCs w:val="22"/>
                <w:u w:val="none"/>
              </w:rPr>
            </w:pPr>
          </w:p>
        </w:tc>
        <w:tc>
          <w:tcPr>
            <w:tcW w:w="535" w:type="dxa"/>
            <w:shd w:val="clear"/>
            <w:vAlign w:val="center"/>
          </w:tcPr>
          <w:p>
            <w:pPr>
              <w:rPr>
                <w:rFonts w:hint="eastAsia" w:ascii="宋体" w:hAnsi="宋体" w:eastAsia="宋体" w:cs="宋体"/>
                <w:i w:val="0"/>
                <w:color w:val="000000"/>
                <w:sz w:val="22"/>
                <w:szCs w:val="22"/>
                <w:u w:val="none"/>
              </w:rPr>
            </w:pPr>
          </w:p>
        </w:tc>
        <w:tc>
          <w:tcPr>
            <w:tcW w:w="544" w:type="dxa"/>
            <w:shd w:val="clear"/>
            <w:vAlign w:val="center"/>
          </w:tcPr>
          <w:p>
            <w:pPr>
              <w:rPr>
                <w:rFonts w:hint="eastAsia" w:ascii="宋体" w:hAnsi="宋体" w:eastAsia="宋体" w:cs="宋体"/>
                <w:i w:val="0"/>
                <w:color w:val="000000"/>
                <w:sz w:val="22"/>
                <w:szCs w:val="22"/>
                <w:u w:val="none"/>
              </w:rPr>
            </w:pPr>
          </w:p>
        </w:tc>
        <w:tc>
          <w:tcPr>
            <w:tcW w:w="493" w:type="dxa"/>
            <w:shd w:val="clear"/>
            <w:vAlign w:val="center"/>
          </w:tcPr>
          <w:p>
            <w:pPr>
              <w:rPr>
                <w:rFonts w:hint="eastAsia" w:ascii="宋体" w:hAnsi="宋体" w:eastAsia="宋体" w:cs="宋体"/>
                <w:i w:val="0"/>
                <w:color w:val="000000"/>
                <w:sz w:val="22"/>
                <w:szCs w:val="22"/>
                <w:u w:val="none"/>
              </w:rPr>
            </w:pPr>
          </w:p>
        </w:tc>
        <w:tc>
          <w:tcPr>
            <w:tcW w:w="947"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87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医疗卫生与计划生育管理事务</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1,634,420.00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1,634,420.00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2100101</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1,227,620.00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1,227,620.00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2100199</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其他医疗卫生与计划生育管理事务支出</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406,800.00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406,800.00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21002</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公立医院</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2100201</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综合医院</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基层医疗卫生机构</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7,415,917.00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7,415,917.00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2100302</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乡镇卫生院</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6,001,917.00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6,001,917.00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2100399</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其他基层医疗卫生机构支出</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1,414,000.00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1,414,000.00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公共卫生</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8,355,846.00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8,355,846.00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2100401</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疾病预防控制机构</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4,589,136.00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4,589,136.00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2100402</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卫生监督机构</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121,000.00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121,000.00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2100403</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妇幼保健机构</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2100404</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精神卫生机构</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2100408</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基本公共卫生服务</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2,125,300.00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2,125,300.00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2100409</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重大公共卫生专项</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1,035,610.00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1,035,610.00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2100499</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其他公共卫生支出</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369,300.00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369,300.00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医疗保障</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19,316,134.00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19,316,134.00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2100501</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54,509.40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54,509.40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2100502</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事业单位医疗</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18,284.60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18,284.60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2100506</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新型农村合作医疗</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16,727,700.00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16,727,700.00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2100510</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疾病应急救助</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2100599</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其他医疗保障支出</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2,095,640.00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2,095,640.00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21006</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中医药</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2100601</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中医（民族医）药专项</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计划生育事务</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2100799</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食品和药品监督管理事务</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433,800.00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433,800.00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2101001</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168,800.00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168,800.00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2101099</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其他食品和药品监督管理事务支出</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98"/>
        <w:gridCol w:w="1506"/>
        <w:gridCol w:w="1395"/>
        <w:gridCol w:w="1460"/>
        <w:gridCol w:w="1395"/>
        <w:gridCol w:w="570"/>
        <w:gridCol w:w="702"/>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798"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表8</w:t>
            </w:r>
          </w:p>
        </w:tc>
        <w:tc>
          <w:tcPr>
            <w:tcW w:w="7532" w:type="dxa"/>
            <w:gridSpan w:val="7"/>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798" w:type="dxa"/>
            <w:shd w:val="clear"/>
            <w:vAlign w:val="center"/>
          </w:tcPr>
          <w:p>
            <w:pPr>
              <w:jc w:val="left"/>
              <w:rPr>
                <w:rFonts w:hint="eastAsia" w:ascii="宋体" w:hAnsi="宋体" w:eastAsia="宋体" w:cs="宋体"/>
                <w:i w:val="0"/>
                <w:color w:val="000000"/>
                <w:sz w:val="21"/>
                <w:szCs w:val="21"/>
                <w:u w:val="none"/>
              </w:rPr>
            </w:pPr>
          </w:p>
        </w:tc>
        <w:tc>
          <w:tcPr>
            <w:tcW w:w="1506" w:type="dxa"/>
            <w:shd w:val="clear"/>
            <w:vAlign w:val="center"/>
          </w:tcPr>
          <w:p>
            <w:pPr>
              <w:rPr>
                <w:rFonts w:hint="eastAsia" w:ascii="宋体" w:hAnsi="宋体" w:eastAsia="宋体" w:cs="宋体"/>
                <w:i w:val="0"/>
                <w:color w:val="000000"/>
                <w:sz w:val="22"/>
                <w:szCs w:val="22"/>
                <w:u w:val="none"/>
              </w:rPr>
            </w:pPr>
          </w:p>
        </w:tc>
        <w:tc>
          <w:tcPr>
            <w:tcW w:w="1395" w:type="dxa"/>
            <w:shd w:val="clear"/>
            <w:vAlign w:val="center"/>
          </w:tcPr>
          <w:p>
            <w:pPr>
              <w:rPr>
                <w:rFonts w:hint="eastAsia" w:ascii="宋体" w:hAnsi="宋体" w:eastAsia="宋体" w:cs="宋体"/>
                <w:i w:val="0"/>
                <w:color w:val="000000"/>
                <w:sz w:val="22"/>
                <w:szCs w:val="22"/>
                <w:u w:val="none"/>
              </w:rPr>
            </w:pPr>
          </w:p>
        </w:tc>
        <w:tc>
          <w:tcPr>
            <w:tcW w:w="1460" w:type="dxa"/>
            <w:shd w:val="clear"/>
            <w:vAlign w:val="center"/>
          </w:tcPr>
          <w:p>
            <w:pPr>
              <w:rPr>
                <w:rFonts w:hint="eastAsia" w:ascii="宋体" w:hAnsi="宋体" w:eastAsia="宋体" w:cs="宋体"/>
                <w:i w:val="0"/>
                <w:color w:val="000000"/>
                <w:sz w:val="22"/>
                <w:szCs w:val="22"/>
                <w:u w:val="none"/>
              </w:rPr>
            </w:pPr>
          </w:p>
        </w:tc>
        <w:tc>
          <w:tcPr>
            <w:tcW w:w="1395" w:type="dxa"/>
            <w:shd w:val="clear"/>
            <w:vAlign w:val="center"/>
          </w:tcPr>
          <w:p>
            <w:pPr>
              <w:rPr>
                <w:rFonts w:hint="eastAsia" w:ascii="宋体" w:hAnsi="宋体" w:eastAsia="宋体" w:cs="宋体"/>
                <w:i w:val="0"/>
                <w:color w:val="000000"/>
                <w:sz w:val="22"/>
                <w:szCs w:val="22"/>
                <w:u w:val="none"/>
              </w:rPr>
            </w:pPr>
          </w:p>
        </w:tc>
        <w:tc>
          <w:tcPr>
            <w:tcW w:w="570" w:type="dxa"/>
            <w:shd w:val="clear"/>
            <w:vAlign w:val="center"/>
          </w:tcPr>
          <w:p>
            <w:pPr>
              <w:rPr>
                <w:rFonts w:hint="eastAsia" w:ascii="宋体" w:hAnsi="宋体" w:eastAsia="宋体" w:cs="宋体"/>
                <w:i w:val="0"/>
                <w:color w:val="000000"/>
                <w:sz w:val="22"/>
                <w:szCs w:val="22"/>
                <w:u w:val="none"/>
              </w:rPr>
            </w:pPr>
          </w:p>
        </w:tc>
        <w:tc>
          <w:tcPr>
            <w:tcW w:w="1206"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3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11,987,473.00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30,067,364.00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医疗卫生与计划生育管理事务</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1,634,420.00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1,227,620.00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406,800.00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2100101</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1,227,620.00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1,227,620.00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2100199</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其他医疗卫生与计划生育管理事务支出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406,800.00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406,800.00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21002</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公立医院</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2100201</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综合医院</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基层医疗卫生机构</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7,415,917.00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6,001,917.00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1,414,000.00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2100302</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乡镇卫生院</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6,001,917.00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6,001,917.00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2100399</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其他基层医疗卫生机构支出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1,414,000.00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1,414,000.00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公共卫生</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8,355,846.00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4,589,136.00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3,766,710.00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2100401</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疾病预防控制机构</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4,589,136.00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4,589,136.00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2100402</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卫生监督机构</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2100403</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妇幼保健机构</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2100404</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精神卫生机构</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2100408</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基本公共卫生服务</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2,125,300.00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2,125,300.00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2100409</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重大公共卫生专项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1,035,610.00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1,035,610.00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2100499</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其他公共卫生支出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369,300.00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369,300.00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医疗保障</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19,316,134.00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19,316,134.00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2100501</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54,509.40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54,509.40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2100502</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事业单位医疗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18,284.60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18,284.60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2100506</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新型农村合作医疗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16,727,700.00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16,727,700.00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2100510</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疾病应急救助</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2100599</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其他医疗保障支出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2,095,640.00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2,095,640.00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21006</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中医药</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2100601</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中医（民族医）药专项</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计划生育事务</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2100799</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1,798,720.00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食品和药品监督管理事务</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433,800.00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168,800.00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2101001</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168,800.00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168,800.00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2101099</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其他食品和药品监督管理事务支出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42,054,837.00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11,987,473.00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30,067,364.00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第三部分</w:t>
      </w: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56"/>
          <w:szCs w:val="56"/>
          <w:lang w:eastAsia="zh-CN"/>
        </w:rPr>
        <w:t xml:space="preserve">乃东区卫生局（人口与计划生育委员会） </w:t>
      </w:r>
      <w:r>
        <w:rPr>
          <w:rFonts w:hint="eastAsia" w:ascii="方正小标宋简体" w:hAnsi="方正小标宋简体" w:eastAsia="方正小标宋简体" w:cs="方正小标宋简体"/>
          <w:sz w:val="56"/>
          <w:szCs w:val="56"/>
          <w:lang w:val="en-US" w:eastAsia="zh-CN"/>
        </w:rPr>
        <w:t>2016</w:t>
      </w:r>
      <w:r>
        <w:rPr>
          <w:rFonts w:hint="eastAsia" w:ascii="方正小标宋简体" w:hAnsi="方正小标宋简体" w:eastAsia="方正小标宋简体" w:cs="方正小标宋简体"/>
          <w:sz w:val="56"/>
          <w:szCs w:val="56"/>
        </w:rPr>
        <w:t>年部门预算数据分析</w:t>
      </w:r>
    </w:p>
    <w:p>
      <w:pPr>
        <w:jc w:val="center"/>
        <w:rPr>
          <w:rFonts w:ascii="方正小标宋简体" w:hAnsi="方正小标宋简体" w:eastAsia="方正小标宋简体" w:cs="方正小标宋简体"/>
          <w:sz w:val="72"/>
          <w:szCs w:val="72"/>
        </w:rPr>
      </w:pPr>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一、2016年度财政拨款收支决算总体情况说明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收入全部为一般公共预算拨款，无政府性基金预算拨款</w:t>
      </w:r>
      <w:r>
        <w:rPr>
          <w:rFonts w:hint="eastAsia" w:ascii="仿宋_GB2312" w:hAnsi="仿宋_GB2312" w:eastAsia="仿宋_GB2312" w:cs="仿宋_GB2312"/>
          <w:color w:val="000000" w:themeColor="text1"/>
          <w:sz w:val="32"/>
          <w:szCs w:val="26"/>
          <w14:textFill>
            <w14:solidFill>
              <w14:schemeClr w14:val="tx1"/>
            </w14:solidFill>
          </w14:textFill>
        </w:rPr>
        <w:t>。本年实际支出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医疗卫生与计划生育支出42054837</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二、2016年度一般公共预算当年财政拨款支出决算情况说明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26"/>
          <w14:textFill>
            <w14:solidFill>
              <w14:schemeClr w14:val="tx1"/>
            </w14:solidFill>
          </w14:textFill>
        </w:rPr>
        <w:t>（一）一般公共预算当年财政拨款决算规模变化情况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与上年决算数同口径比较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2016年一般公共预算当年财政拨款支出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42054837元，</w:t>
      </w:r>
      <w:r>
        <w:rPr>
          <w:rFonts w:hint="eastAsia" w:ascii="仿宋_GB2312" w:hAnsi="仿宋_GB2312" w:eastAsia="仿宋_GB2312" w:cs="仿宋_GB2312"/>
          <w:color w:val="000000" w:themeColor="text1"/>
          <w:sz w:val="32"/>
          <w:szCs w:val="26"/>
          <w14:textFill>
            <w14:solidFill>
              <w14:schemeClr w14:val="tx1"/>
            </w14:solidFill>
          </w14:textFill>
        </w:rPr>
        <w:t>201</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26"/>
          <w14:textFill>
            <w14:solidFill>
              <w14:schemeClr w14:val="tx1"/>
            </w14:solidFill>
          </w14:textFill>
        </w:rPr>
        <w:t>年一般公共</w:t>
      </w:r>
      <w:r>
        <w:rPr>
          <w:rFonts w:hint="eastAsia" w:ascii="仿宋_GB2312" w:hAnsi="仿宋_GB2312" w:eastAsia="仿宋_GB2312" w:cs="仿宋_GB2312"/>
          <w:color w:val="000000" w:themeColor="text1"/>
          <w:sz w:val="32"/>
          <w:szCs w:val="26"/>
          <w:lang w:eastAsia="zh-CN"/>
          <w14:textFill>
            <w14:solidFill>
              <w14:schemeClr w14:val="tx1"/>
            </w14:solidFill>
          </w14:textFill>
        </w:rPr>
        <w:t>决算</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1225105</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，同比增加</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40829732元。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（二）一般公共预算当年财政拨款决算结构情况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一般公共预算当年财政拨款决算支出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元。其中：</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医疗卫生与计划生育支出42054837</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元，占一般公共预算当年财政拨款决算支出的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（三）一般公共预算当年财政拨款决算具体使用情况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医疗卫生与计划生育支出420548370</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1、</w:t>
      </w:r>
      <w:r>
        <w:rPr>
          <w:rFonts w:hint="eastAsia" w:ascii="仿宋_GB2312" w:hAnsi="仿宋_GB2312" w:eastAsia="仿宋_GB2312" w:cs="仿宋_GB2312"/>
          <w:color w:val="000000" w:themeColor="text1"/>
          <w:sz w:val="32"/>
          <w:szCs w:val="26"/>
          <w:lang w:eastAsia="zh-CN"/>
          <w14:textFill>
            <w14:solidFill>
              <w14:schemeClr w14:val="tx1"/>
            </w14:solidFill>
          </w14:textFill>
        </w:rPr>
        <w:t>医疗卫生与计划生育管理事务</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1634420</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（1）行政运行支出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1227620</w:t>
      </w:r>
      <w:r>
        <w:rPr>
          <w:rFonts w:hint="eastAsia" w:ascii="仿宋_GB2312" w:hAnsi="仿宋_GB2312" w:eastAsia="仿宋_GB2312" w:cs="仿宋_GB2312"/>
          <w:color w:val="000000" w:themeColor="text1"/>
          <w:sz w:val="32"/>
          <w:szCs w:val="26"/>
          <w14:textFill>
            <w14:solidFill>
              <w14:schemeClr w14:val="tx1"/>
            </w14:solidFill>
          </w14:textFill>
        </w:rPr>
        <w:t>元。其中工资福利支出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10366130</w:t>
      </w:r>
      <w:r>
        <w:rPr>
          <w:rFonts w:hint="eastAsia" w:ascii="仿宋_GB2312" w:hAnsi="仿宋_GB2312" w:eastAsia="仿宋_GB2312" w:cs="仿宋_GB2312"/>
          <w:color w:val="000000" w:themeColor="text1"/>
          <w:sz w:val="32"/>
          <w:szCs w:val="26"/>
          <w14:textFill>
            <w14:solidFill>
              <w14:schemeClr w14:val="tx1"/>
            </w14:solidFill>
          </w14:textFill>
        </w:rPr>
        <w:t>元，商品和服务支出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1335546</w:t>
      </w:r>
      <w:r>
        <w:rPr>
          <w:rFonts w:hint="eastAsia" w:ascii="仿宋_GB2312" w:hAnsi="仿宋_GB2312" w:eastAsia="仿宋_GB2312" w:cs="仿宋_GB2312"/>
          <w:color w:val="000000" w:themeColor="text1"/>
          <w:sz w:val="32"/>
          <w:szCs w:val="26"/>
          <w14:textFill>
            <w14:solidFill>
              <w14:schemeClr w14:val="tx1"/>
            </w14:solidFill>
          </w14:textFill>
        </w:rPr>
        <w:t>元，对个人和家庭补助支出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285797</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26"/>
          <w:lang w:eastAsia="zh-CN"/>
          <w14:textFill>
            <w14:solidFill>
              <w14:schemeClr w14:val="tx1"/>
            </w14:solidFill>
          </w14:textFill>
        </w:rPr>
        <w:t>）其他医疗卫生与计划生育管理事务支出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406800元。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2、公立医院支出3000000元。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（1）综合医院3000000元。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3、基层医疗卫生机构7415917元。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（1）乡镇卫生院6001917元。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（2）其他基层医疗卫生机构支出1414000元。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4、公共卫生支出8355846元。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（1）疾病预防控制机构4589136元。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（2）卫生监督机构121000元。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（3）妇幼保健机构75500元。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（4）精神卫生机构40000元。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（5）基本公共卫生服务2125300元。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（6）重大公共卫生专项1035610元。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（7）其他公共卫生支出369300元。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5、医疗保障19316134元。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（1）行政单位医疗54509.4元。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（2）事业单位医疗18284.6元。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（3）新型农村合作医疗16727700元。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（4）疾病应急救助420000元。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（5）其他医疗保障支出2095640元。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6、中医院100000元。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（1）中医（民族医）药专项100000元。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7、计划生育事务1798720元。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（1）其他计划生育事务支出1798720元。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8、食品和药品监督管理事务433800元。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（1）行政运行168800元。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（2）其他食品和药品监督管理事务支出265000元。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三、2016年度一般公共预算基本支出决算情况说明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2016年度一般公共预算基本支出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11987473</w:t>
      </w:r>
      <w:r>
        <w:rPr>
          <w:rFonts w:hint="eastAsia" w:ascii="仿宋_GB2312" w:hAnsi="仿宋_GB2312" w:eastAsia="仿宋_GB2312" w:cs="仿宋_GB2312"/>
          <w:color w:val="000000" w:themeColor="text1"/>
          <w:sz w:val="32"/>
          <w:szCs w:val="26"/>
          <w14:textFill>
            <w14:solidFill>
              <w14:schemeClr w14:val="tx1"/>
            </w14:solidFill>
          </w14:textFill>
        </w:rPr>
        <w:t>元。其中：工资福利支出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10366130</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86.48</w:t>
      </w:r>
      <w:r>
        <w:rPr>
          <w:rFonts w:hint="eastAsia" w:ascii="仿宋_GB2312" w:hAnsi="仿宋_GB2312" w:eastAsia="仿宋_GB2312" w:cs="仿宋_GB2312"/>
          <w:color w:val="000000" w:themeColor="text1"/>
          <w:sz w:val="32"/>
          <w:szCs w:val="26"/>
          <w14:textFill>
            <w14:solidFill>
              <w14:schemeClr w14:val="tx1"/>
            </w14:solidFill>
          </w14:textFill>
        </w:rPr>
        <w:t>%。商品服务支出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1335546</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11.14</w:t>
      </w:r>
      <w:r>
        <w:rPr>
          <w:rFonts w:hint="eastAsia" w:ascii="仿宋_GB2312" w:hAnsi="仿宋_GB2312" w:eastAsia="仿宋_GB2312" w:cs="仿宋_GB2312"/>
          <w:color w:val="000000" w:themeColor="text1"/>
          <w:sz w:val="32"/>
          <w:szCs w:val="26"/>
          <w14:textFill>
            <w14:solidFill>
              <w14:schemeClr w14:val="tx1"/>
            </w14:solidFill>
          </w14:textFill>
        </w:rPr>
        <w:t>%，对个人和家庭补助支出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285797</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2.38</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四、2016年“三公”经费决算情况说明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2016年三公经费决算支出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19501元，实际支出19501</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14:textFill>
            <w14:solidFill>
              <w14:schemeClr w14:val="tx1"/>
            </w14:solidFill>
          </w14:textFill>
        </w:rPr>
        <w:t>2015年</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三公经费决算支</w:t>
      </w:r>
      <w:r>
        <w:rPr>
          <w:rFonts w:hint="eastAsia" w:ascii="仿宋_GB2312" w:hAnsi="仿宋_GB2312" w:eastAsia="仿宋_GB2312" w:cs="仿宋_GB2312"/>
          <w:b w:val="0"/>
          <w:bCs w:val="0"/>
          <w:color w:val="000000" w:themeColor="text1"/>
          <w:sz w:val="32"/>
          <w:szCs w:val="26"/>
          <w:lang w:val="en-US" w:eastAsia="zh-CN"/>
          <w14:textFill>
            <w14:solidFill>
              <w14:schemeClr w14:val="tx1"/>
            </w14:solidFill>
          </w14:textFill>
        </w:rPr>
        <w:t>出116121.56</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元，同比减少96620.56元</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444444"/>
          <w:sz w:val="32"/>
          <w:szCs w:val="26"/>
        </w:rPr>
        <w:t>　</w:t>
      </w:r>
      <w:r>
        <w:rPr>
          <w:rFonts w:hint="eastAsia" w:ascii="仿宋_GB2312" w:hAnsi="仿宋_GB2312" w:eastAsia="仿宋_GB2312" w:cs="仿宋_GB2312"/>
          <w:color w:val="FF0000"/>
          <w:sz w:val="32"/>
          <w:szCs w:val="26"/>
        </w:rPr>
        <w:t>　</w:t>
      </w:r>
      <w:r>
        <w:rPr>
          <w:rFonts w:hint="eastAsia" w:ascii="仿宋_GB2312" w:hAnsi="仿宋_GB2312" w:eastAsia="仿宋_GB2312" w:cs="仿宋_GB2312"/>
          <w:color w:val="000000" w:themeColor="text1"/>
          <w:sz w:val="32"/>
          <w:szCs w:val="26"/>
          <w14:textFill>
            <w14:solidFill>
              <w14:schemeClr w14:val="tx1"/>
            </w14:solidFill>
          </w14:textFill>
        </w:rPr>
        <w:t>（一）公务接待费用</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2016年公务接待费预算指标</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26"/>
          <w14:textFill>
            <w14:solidFill>
              <w14:schemeClr w14:val="tx1"/>
            </w14:solidFill>
          </w14:textFill>
        </w:rPr>
        <w:t>元，实际支出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2015年公务接待费决算支出0元。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（二）因公出国（境）费</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2016年无因公出国（境）事项，未产生因公出国（境）费用。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（三）公务用车运行费用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2016年公务用车运行维护费预算指标</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19501</w:t>
      </w:r>
      <w:r>
        <w:rPr>
          <w:rFonts w:hint="eastAsia" w:ascii="仿宋_GB2312" w:hAnsi="仿宋_GB2312" w:eastAsia="仿宋_GB2312" w:cs="仿宋_GB2312"/>
          <w:color w:val="000000" w:themeColor="text1"/>
          <w:sz w:val="32"/>
          <w:szCs w:val="26"/>
          <w14:textFill>
            <w14:solidFill>
              <w14:schemeClr w14:val="tx1"/>
            </w14:solidFill>
          </w14:textFill>
        </w:rPr>
        <w:t>元。实际支出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19501</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2015年公务用车运行维护费决算支出116121.56，同比减少96620.56元。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五、2016年度收支决算总体情况说明</w:t>
      </w:r>
    </w:p>
    <w:p>
      <w:pPr>
        <w:pStyle w:val="4"/>
        <w:shd w:val="clear" w:color="auto" w:fill="FFFFFF"/>
        <w:spacing w:before="0" w:beforeAutospacing="0" w:after="0" w:afterAutospacing="0"/>
        <w:jc w:val="both"/>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2016年度可支配收入</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元。其中：2016年财政预算拨款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元（一般公共预算拨款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元）。本年实际支出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eastAsia="zh-CN"/>
          <w14:textFill>
            <w14:solidFill>
              <w14:schemeClr w14:val="tx1"/>
            </w14:solidFill>
          </w14:textFill>
        </w:rPr>
        <w:t>医疗卫生与计划生育支出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六、2016 年度收入决算情况说明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2016年度可支配收入</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元。其中：2016年财政预算拨款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元（一般公共预算拨款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七、2016年度支出决算情况说明</w:t>
      </w:r>
    </w:p>
    <w:p>
      <w:pPr>
        <w:pStyle w:val="4"/>
        <w:shd w:val="clear" w:color="auto" w:fill="FFFFFF"/>
        <w:spacing w:before="0" w:beforeAutospacing="0" w:after="0" w:afterAutospacing="0"/>
        <w:ind w:firstLine="640"/>
        <w:rPr>
          <w:rFonts w:hint="eastAsia" w:ascii="微软雅黑" w:hAnsi="微软雅黑" w:eastAsia="仿宋_GB2312"/>
          <w:color w:val="000000" w:themeColor="text1"/>
          <w:sz w:val="32"/>
          <w:szCs w:val="26"/>
          <w:lang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 其中一般公共预算拨款支出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42054837</w:t>
      </w:r>
      <w:r>
        <w:rPr>
          <w:rFonts w:hint="eastAsia" w:ascii="仿宋_GB2312" w:hAnsi="仿宋_GB2312" w:eastAsia="仿宋_GB2312" w:cs="仿宋_GB2312"/>
          <w:color w:val="000000" w:themeColor="text1"/>
          <w:sz w:val="32"/>
          <w:szCs w:val="26"/>
          <w14:textFill>
            <w14:solidFill>
              <w14:schemeClr w14:val="tx1"/>
            </w14:solidFill>
          </w14:textFill>
        </w:rPr>
        <w:t>元,占年度支出的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rPr>
          <w:rFonts w:ascii="微软雅黑" w:hAnsi="微软雅黑" w:eastAsia="仿宋"/>
          <w:color w:val="444444"/>
          <w:sz w:val="32"/>
          <w:szCs w:val="26"/>
        </w:rPr>
      </w:pPr>
    </w:p>
    <w:p>
      <w:pPr>
        <w:pStyle w:val="4"/>
        <w:shd w:val="clear" w:color="auto" w:fill="FFFFFF"/>
        <w:spacing w:before="0" w:beforeAutospacing="0" w:after="0" w:afterAutospacing="0"/>
        <w:rPr>
          <w:rFonts w:ascii="微软雅黑" w:hAnsi="微软雅黑" w:eastAsia="仿宋"/>
          <w:color w:val="444444"/>
          <w:sz w:val="32"/>
          <w:szCs w:val="26"/>
        </w:rPr>
      </w:pPr>
    </w:p>
    <w:p>
      <w:pPr>
        <w:pStyle w:val="4"/>
        <w:shd w:val="clear" w:color="auto" w:fill="FFFFFF"/>
        <w:spacing w:before="0" w:beforeAutospacing="0" w:after="0" w:afterAutospacing="0"/>
        <w:rPr>
          <w:rFonts w:ascii="微软雅黑" w:hAnsi="微软雅黑" w:eastAsia="仿宋"/>
          <w:color w:val="444444"/>
          <w:sz w:val="32"/>
          <w:szCs w:val="26"/>
        </w:rPr>
      </w:pPr>
    </w:p>
    <w:p>
      <w:pPr>
        <w:pStyle w:val="4"/>
        <w:shd w:val="clear" w:color="auto" w:fill="FFFFFF"/>
        <w:spacing w:before="0" w:beforeAutospacing="0" w:after="0" w:afterAutospacing="0"/>
        <w:rPr>
          <w:rFonts w:ascii="微软雅黑" w:hAnsi="微软雅黑" w:eastAsia="仿宋"/>
          <w:color w:val="444444"/>
          <w:sz w:val="32"/>
          <w:szCs w:val="26"/>
        </w:rPr>
      </w:pPr>
    </w:p>
    <w:p>
      <w:pPr>
        <w:pStyle w:val="4"/>
        <w:shd w:val="clear" w:color="auto" w:fill="FFFFFF"/>
        <w:spacing w:before="0" w:beforeAutospacing="0" w:after="0" w:afterAutospacing="0"/>
        <w:rPr>
          <w:rFonts w:ascii="微软雅黑" w:hAnsi="微软雅黑" w:eastAsia="仿宋"/>
          <w:color w:val="444444"/>
          <w:sz w:val="32"/>
          <w:szCs w:val="26"/>
        </w:rPr>
      </w:pPr>
    </w:p>
    <w:p>
      <w:pPr>
        <w:pStyle w:val="4"/>
        <w:shd w:val="clear" w:color="auto" w:fill="FFFFFF"/>
        <w:spacing w:before="0" w:beforeAutospacing="0" w:after="0" w:afterAutospacing="0"/>
        <w:rPr>
          <w:rFonts w:ascii="微软雅黑" w:hAnsi="微软雅黑" w:eastAsia="仿宋"/>
          <w:color w:val="444444"/>
          <w:sz w:val="32"/>
          <w:szCs w:val="2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2520" w:firstLineChars="300"/>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第四部分</w:t>
      </w:r>
    </w:p>
    <w:p>
      <w:pPr>
        <w:rPr>
          <w:rFonts w:ascii="Calibri" w:hAnsi="Calibri" w:eastAsia="宋体" w:cs="Times New Roman"/>
        </w:rPr>
      </w:pPr>
      <w:r>
        <w:rPr>
          <w:rFonts w:hint="eastAsia" w:ascii="Calibri" w:hAnsi="Calibri" w:eastAsia="宋体" w:cs="Times New Roman"/>
        </w:rPr>
        <w:t xml:space="preserve">                             </w:t>
      </w:r>
    </w:p>
    <w:p>
      <w:pPr>
        <w:rPr>
          <w:rFonts w:ascii="Calibri" w:hAnsi="Calibri" w:eastAsia="宋体" w:cs="Times New Roman"/>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名词解释</w:t>
      </w: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hint="eastAsia" w:ascii="微软雅黑" w:hAnsi="微软雅黑" w:eastAsia="仿宋"/>
          <w:color w:val="444444"/>
          <w:sz w:val="28"/>
          <w:szCs w:val="28"/>
        </w:rPr>
      </w:pPr>
      <w:bookmarkStart w:id="0" w:name="_GoBack"/>
      <w:bookmarkEnd w:id="0"/>
    </w:p>
    <w:p>
      <w:pPr>
        <w:pStyle w:val="4"/>
        <w:shd w:val="clear" w:color="auto" w:fill="FFFFFF"/>
        <w:spacing w:before="0" w:beforeAutospacing="0" w:after="0" w:afterAutospacing="0"/>
        <w:ind w:firstLine="56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444444"/>
          <w:sz w:val="28"/>
          <w:szCs w:val="28"/>
        </w:rPr>
        <w:t>　</w:t>
      </w:r>
      <w:r>
        <w:rPr>
          <w:rFonts w:hint="eastAsia" w:ascii="微软雅黑" w:hAnsi="微软雅黑" w:eastAsia="仿宋"/>
          <w:color w:val="000000" w:themeColor="text1"/>
          <w:sz w:val="32"/>
          <w:szCs w:val="26"/>
          <w14:textFill>
            <w14:solidFill>
              <w14:schemeClr w14:val="tx1"/>
            </w14:solidFill>
          </w14:textFill>
        </w:rPr>
        <w:t>一、“三公”经费</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“三公”经费是指政府部门人员因公出国（境）、公务车内置及运行以及公务所产生的消费，是当前公共行政领域亟待解决的问题之一。</w:t>
      </w:r>
    </w:p>
    <w:p>
      <w:pPr>
        <w:pStyle w:val="4"/>
        <w:shd w:val="clear" w:color="auto" w:fill="FFFFFF"/>
        <w:spacing w:before="0" w:beforeAutospacing="0" w:after="0" w:afterAutospacing="0"/>
        <w:ind w:firstLine="64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二、政府性基金</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政府性基金是指和级人民政府及其所属部门根据法律、国家行政法规和中共中央、国务院的有关规定，为支持某项事业发展，按照国家规定程序批准，向公民、法人和其它组织征收的具有专项用途的资金，包括各种基金、资金、附加和专项收费。</w:t>
      </w:r>
    </w:p>
    <w:p>
      <w:pPr>
        <w:pStyle w:val="4"/>
        <w:shd w:val="clear" w:color="auto" w:fill="FFFFFF"/>
        <w:spacing w:before="0" w:beforeAutospacing="0" w:after="0" w:afterAutospacing="0"/>
        <w:ind w:firstLine="64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三、一般公共预算</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一般公共预算是以收税为主的财政收入，安排用于保障和改善民生，推动经济社会发展，维护国家安全，维持国家机构正常运转方面的收支预算。</w:t>
      </w:r>
    </w:p>
    <w:p>
      <w:pPr>
        <w:rPr>
          <w:rFonts w:ascii="仿宋_GB2312" w:hAnsi="仿宋_GB2312" w:eastAsia="仿宋_GB2312" w:cs="仿宋_GB2312"/>
          <w:color w:val="000000" w:themeColor="text1"/>
          <w:sz w:val="84"/>
          <w:szCs w:val="84"/>
          <w14:textFill>
            <w14:solidFill>
              <w14:schemeClr w14:val="tx1"/>
            </w14:solidFill>
          </w14:textFill>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84"/>
          <w:szCs w:val="84"/>
        </w:rPr>
      </w:pPr>
    </w:p>
    <w:sectPr>
      <w:footerReference r:id="rId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DFoJ8oBAAB5AwAADgAAAAAAAAABACAAAAAeAQAAZHJzL2Uyb0Rv&#10;Yy54bWxQSwUGAAAAAAYABgBZAQAAW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28219"/>
    <w:multiLevelType w:val="singleLevel"/>
    <w:tmpl w:val="CAE28219"/>
    <w:lvl w:ilvl="0" w:tentative="0">
      <w:start w:val="7"/>
      <w:numFmt w:val="chineseCounting"/>
      <w:suff w:val="nothing"/>
      <w:lvlText w:val="（%1）"/>
      <w:lvlJc w:val="left"/>
      <w:pPr>
        <w:ind w:left="640" w:firstLine="0"/>
      </w:pPr>
      <w:rPr>
        <w:rFonts w:hint="eastAsia"/>
      </w:rPr>
    </w:lvl>
  </w:abstractNum>
  <w:abstractNum w:abstractNumId="1">
    <w:nsid w:val="2D0DE9E6"/>
    <w:multiLevelType w:val="singleLevel"/>
    <w:tmpl w:val="2D0DE9E6"/>
    <w:lvl w:ilvl="0" w:tentative="0">
      <w:start w:val="1"/>
      <w:numFmt w:val="chineseCounting"/>
      <w:suff w:val="nothing"/>
      <w:lvlText w:val="%1、"/>
      <w:lvlJc w:val="left"/>
      <w:rPr>
        <w:rFonts w:hint="eastAsia"/>
      </w:rPr>
    </w:lvl>
  </w:abstractNum>
  <w:abstractNum w:abstractNumId="2">
    <w:nsid w:val="2DD0A523"/>
    <w:multiLevelType w:val="singleLevel"/>
    <w:tmpl w:val="2DD0A523"/>
    <w:lvl w:ilvl="0" w:tentative="0">
      <w:start w:val="1"/>
      <w:numFmt w:val="chineseCounting"/>
      <w:suff w:val="nothing"/>
      <w:lvlText w:val="%1、"/>
      <w:lvlJc w:val="left"/>
      <w:rPr>
        <w:rFonts w:hint="eastAsia"/>
      </w:rPr>
    </w:lvl>
  </w:abstractNum>
  <w:abstractNum w:abstractNumId="3">
    <w:nsid w:val="531C98D2"/>
    <w:multiLevelType w:val="singleLevel"/>
    <w:tmpl w:val="531C98D2"/>
    <w:lvl w:ilvl="0" w:tentative="0">
      <w:start w:val="1"/>
      <w:numFmt w:val="chineseCounting"/>
      <w:suff w:val="space"/>
      <w:lvlText w:val="第%1部分"/>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22F42"/>
    <w:rsid w:val="00092E9F"/>
    <w:rsid w:val="00241D6A"/>
    <w:rsid w:val="005E0307"/>
    <w:rsid w:val="005E5A9D"/>
    <w:rsid w:val="005E6145"/>
    <w:rsid w:val="00835B6B"/>
    <w:rsid w:val="00B824F2"/>
    <w:rsid w:val="00E75848"/>
    <w:rsid w:val="05916A36"/>
    <w:rsid w:val="0D137D19"/>
    <w:rsid w:val="13F106A8"/>
    <w:rsid w:val="17C05461"/>
    <w:rsid w:val="1D9E79D6"/>
    <w:rsid w:val="1EE541ED"/>
    <w:rsid w:val="21744EDD"/>
    <w:rsid w:val="26E57E8B"/>
    <w:rsid w:val="28265A2A"/>
    <w:rsid w:val="28D878CD"/>
    <w:rsid w:val="396D5533"/>
    <w:rsid w:val="3EDC4B6D"/>
    <w:rsid w:val="3EE36A25"/>
    <w:rsid w:val="414941D9"/>
    <w:rsid w:val="43603CEB"/>
    <w:rsid w:val="44890A8C"/>
    <w:rsid w:val="45222F42"/>
    <w:rsid w:val="461360DA"/>
    <w:rsid w:val="472A34F9"/>
    <w:rsid w:val="48B676D7"/>
    <w:rsid w:val="4B020017"/>
    <w:rsid w:val="52261CA9"/>
    <w:rsid w:val="60421676"/>
    <w:rsid w:val="609D6910"/>
    <w:rsid w:val="66516B3F"/>
    <w:rsid w:val="699A1B94"/>
    <w:rsid w:val="6C92316B"/>
    <w:rsid w:val="74B37C4F"/>
    <w:rsid w:val="751203EA"/>
    <w:rsid w:val="770259B3"/>
    <w:rsid w:val="78866231"/>
    <w:rsid w:val="7BCB3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 w:type="character" w:customStyle="1" w:styleId="8">
    <w:name w:val="font01"/>
    <w:basedOn w:val="5"/>
    <w:qFormat/>
    <w:uiPriority w:val="0"/>
    <w:rPr>
      <w:rFonts w:hint="eastAsia" w:ascii="宋体" w:hAnsi="宋体" w:eastAsia="宋体" w:cs="宋体"/>
      <w:b/>
      <w:color w:val="000000"/>
      <w:sz w:val="24"/>
      <w:szCs w:val="24"/>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 w:type="character" w:customStyle="1" w:styleId="10">
    <w:name w:val="font31"/>
    <w:basedOn w:val="5"/>
    <w:qFormat/>
    <w:uiPriority w:val="0"/>
    <w:rPr>
      <w:rFonts w:hint="eastAsia" w:ascii="宋体" w:hAnsi="宋体" w:eastAsia="宋体" w:cs="宋体"/>
      <w:color w:val="000000"/>
      <w:sz w:val="22"/>
      <w:szCs w:val="22"/>
      <w:u w:val="none"/>
    </w:rPr>
  </w:style>
  <w:style w:type="character" w:customStyle="1" w:styleId="11">
    <w:name w:val="font21"/>
    <w:basedOn w:val="5"/>
    <w:qFormat/>
    <w:uiPriority w:val="0"/>
    <w:rPr>
      <w:rFonts w:hint="eastAsia" w:ascii="宋体" w:hAnsi="宋体" w:eastAsia="宋体" w:cs="宋体"/>
      <w:color w:val="000000"/>
      <w:sz w:val="24"/>
      <w:szCs w:val="24"/>
      <w:u w:val="none"/>
    </w:rPr>
  </w:style>
  <w:style w:type="character" w:customStyle="1" w:styleId="12">
    <w:name w:val="font61"/>
    <w:basedOn w:val="5"/>
    <w:qFormat/>
    <w:uiPriority w:val="0"/>
    <w:rPr>
      <w:rFonts w:hint="eastAsia" w:ascii="宋体" w:hAnsi="宋体" w:eastAsia="宋体" w:cs="宋体"/>
      <w:color w:val="000000"/>
      <w:sz w:val="24"/>
      <w:szCs w:val="24"/>
      <w:u w:val="none"/>
    </w:rPr>
  </w:style>
  <w:style w:type="paragraph" w:customStyle="1" w:styleId="13">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customStyle="1" w:styleId="14">
    <w:name w:val="font4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221</Words>
  <Characters>1265</Characters>
  <Lines>10</Lines>
  <Paragraphs>2</Paragraphs>
  <TotalTime>3</TotalTime>
  <ScaleCrop>false</ScaleCrop>
  <LinksUpToDate>false</LinksUpToDate>
  <CharactersWithSpaces>1484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2018-12-15T10:18:00Z</dcterms:created>
  <dc:creator>李正鹏</dc:creator>
  <cp:lastModifiedBy>李正鹏</cp:lastModifiedBy>
  <cp:lastPrinted>2018-12-31T08:30:37Z</cp:lastPrinted>
  <dcterms:modified xsi:type="dcterms:W3CDTF">2018-12-31T08:49:11Z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