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rPr>
      </w:pPr>
    </w:p>
    <w:p>
      <w:pPr>
        <w:jc w:val="center"/>
        <w:rPr>
          <w:rFonts w:hint="eastAsia"/>
          <w:sz w:val="84"/>
          <w:szCs w:val="84"/>
        </w:rPr>
      </w:pPr>
    </w:p>
    <w:p>
      <w:pPr>
        <w:jc w:val="center"/>
        <w:rPr>
          <w:rFonts w:hint="eastAsia"/>
          <w:sz w:val="84"/>
          <w:szCs w:val="84"/>
        </w:rPr>
      </w:pPr>
    </w:p>
    <w:p>
      <w:pPr>
        <w:rPr>
          <w:rFonts w:hint="eastAsia"/>
        </w:rPr>
      </w:pPr>
      <w:r>
        <w:rPr>
          <w:rFonts w:hint="eastAsia"/>
        </w:rPr>
        <w:t xml:space="preserve">                             </w:t>
      </w:r>
    </w:p>
    <w:p>
      <w:pPr>
        <w:rPr>
          <w:rFonts w:hint="eastAsia"/>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乃东区卫生局（人口与计划生育委员会）</w:t>
      </w: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2016年部门决算</w:t>
      </w: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rPr>
          <w:rFonts w:hint="eastAsia" w:ascii="仿宋_GB2312" w:hAnsi="仿宋_GB2312" w:eastAsia="仿宋_GB2312" w:cs="仿宋_GB2312"/>
          <w:sz w:val="32"/>
          <w:szCs w:val="32"/>
        </w:rPr>
      </w:pP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乃东区卫生局（人口与计划生育委员会）概况</w:t>
      </w:r>
    </w:p>
    <w:p>
      <w:pPr>
        <w:numPr>
          <w:ilvl w:val="0"/>
          <w:numId w:val="2"/>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乃东区卫生局（人口与计划生育委员会）2016年部门决算表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乃东区卫生局（人口与计划生育委员会）2016年部门决算数据分析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Pr>
        <w:rPr>
          <w:rFonts w:hint="eastAsia"/>
        </w:rPr>
      </w:pPr>
      <w:r>
        <w:rPr>
          <w:rFonts w:hint="eastAsia"/>
        </w:rPr>
        <w:t xml:space="preserve">                             </w:t>
      </w:r>
    </w:p>
    <w:p>
      <w:pPr>
        <w:rPr>
          <w:rFonts w:hint="eastAsia"/>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乃东区卫生局（人口与计划生育委员会）概况</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乃东区卫生局（人口与计划生育委员会）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概况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一、主要职责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（一）贯彻执行党和国家卫生、人口和计划生育、食品药品工作的方针政策和法律法规，推进医药卫生体制改革，落实自治区有关卫生政策、标准和规范。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统筹规划协调全区卫生资源配置，拟定全区中长期发展规划和专项建设规划并组织实施；负责实施全区人口计生和优生优育中长期规划、年度计划和事业发展规划，对全区人口计生和优生优育规划执行情况进行监督和评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（三）组织实施农牧区卫生工作规划和政策措施，负责农牧区医疗制度的监督管理；组织实施社区卫生、妇幼卫生工作规划和政策措施，规划并指导社区卫生服务体系建设，负责妇幼保健的综合管理和监督。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（四）负责全区疾病预防控制工作，组织实施地方病及其他重大疾病预防、计划免疫工作规划及政策措施，协调有关部门对重大疾病实施预防与干预，发布法定报告传染病疫情信息。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负责全区卫生应急工作，制度全区卫生应急预案和措施，负责突发公共卫生事件监测预警和风险评估，指导实施突发公共卫生事件预防控制与应急处置，发布突发公共卫生事件应急处置信息；负责全区重大会议和重大活动的医疗卫生和医疗保健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（六）负责全区所有医疗机构医疗服务的全行业监督管理：负责落实医疗机构医疗服务、技术、医疗质量、职业道德和采供血机构管理的政策、规范、标准。</w:t>
      </w:r>
    </w:p>
    <w:p>
      <w:pPr>
        <w:numPr>
          <w:ilvl w:val="0"/>
          <w:numId w:val="4"/>
        </w:numPr>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负责卫生行政执法工作，按照职责分工负责职业卫生、放射卫生、环境卫生和中小学卫生的监督管理，负责公共场所和饮用水的卫生安全监督管理，依法开展传染病防治监督．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（八）负责卫生人才队伍建设，组织拟订全区卫生人才发展规划，会同有关部门拟订卫生专业技术人员资格标准和聘任规范并组织实施。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负责基层建立流动计划生直信息共享和公共服务工作机制；促进计生和优生优育方针政策在教育、卫生、文化、就业和社会保障等工作中的衔接配合；监测计生和优生优育发展动态，提出发布计生和优生优育安全预警预报建议，负责优生优育的信息综合及信息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（十）负责实施全区计生和优生优育宣传教育工作规划；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推动实施计生和优生优育工作的生殖健康促进计划，提高人口素质，协同有关部门降低孕产妇、婴儿死亡率和出生缺陷率。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（十一）负责实施优生优育科学研究的总体规划，依法管理优生优育技术服务工作，依法公布有关优生优育统计、信息分析工作，依法规划计划生育药具管理制度，编制药具需求计划、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（十二）承担全区爱国卫生运动委员会、区防治艾滋病工作委员会具体工作。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（十三）承办区政府交办的其他事项。</w:t>
      </w:r>
    </w:p>
    <w:p>
      <w:pPr>
        <w:ind w:firstLine="640"/>
        <w:rPr>
          <w:rFonts w:hint="eastAsia" w:ascii="黑体" w:hAnsi="黑体" w:eastAsia="黑体" w:cs="黑体"/>
          <w:sz w:val="32"/>
          <w:szCs w:val="32"/>
        </w:rPr>
      </w:pPr>
      <w:r>
        <w:rPr>
          <w:rFonts w:hint="eastAsia" w:ascii="黑体" w:hAnsi="黑体" w:eastAsia="黑体" w:cs="黑体"/>
          <w:sz w:val="32"/>
          <w:szCs w:val="32"/>
        </w:rPr>
        <w:t>二、内设机构</w:t>
      </w:r>
    </w:p>
    <w:p>
      <w:pPr>
        <w:rPr>
          <w:rFonts w:hint="eastAsia" w:ascii="黑体" w:hAnsi="黑体" w:eastAsia="黑体" w:cs="黑体"/>
          <w:sz w:val="32"/>
          <w:szCs w:val="32"/>
        </w:rPr>
      </w:pPr>
      <w:r>
        <w:rPr>
          <w:rFonts w:hint="eastAsia" w:ascii="仿宋_GB2312" w:hAnsi="仿宋_GB2312" w:eastAsia="仿宋_GB2312" w:cs="仿宋_GB2312"/>
          <w:sz w:val="32"/>
          <w:szCs w:val="32"/>
        </w:rPr>
        <w:t>乃东区卫生局（人口与计划</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 xml:space="preserve">乃东区卫生局（人口与计划生育委员会）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09"/>
        <w:gridCol w:w="1460"/>
        <w:gridCol w:w="1937"/>
        <w:gridCol w:w="338"/>
        <w:gridCol w:w="1771"/>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069"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937"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338"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986"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069"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261"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42,054,837.00</w:t>
            </w: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42,054,837.00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9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3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9"/>
        <w:gridCol w:w="1857"/>
        <w:gridCol w:w="2481"/>
        <w:gridCol w:w="1460"/>
        <w:gridCol w:w="1395"/>
        <w:gridCol w:w="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6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3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11,987,473.00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30,067,364.00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医疗卫生与计划生育管理事务</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1,634,420.00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1,227,620.00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1,227,620.00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1,227,620.00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其他医疗卫生与计划生育管理事务支出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公立医院</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综合医院</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基层医疗卫生机构</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7,415,917.00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6,001,917.00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2100302</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乡镇卫生院</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6,001,917.00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6,001,917.00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其他基层医疗卫生机构支出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公共卫生</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8,355,846.00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4,589,136.00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3,766,710.00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疾病预防控制机构</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4,589,136.00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4,589,136.00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2100402</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卫生监督机构</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2100403</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妇幼保健机构</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2100404</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精神卫生机构</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2100408</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基本公共卫生服务</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重大公共卫生专项</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其他公共卫生支出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2100506</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新型农村合作医疗</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2100510</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疾病应急救助</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中医药</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中医（民族医）药专项</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计划生育事务</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其他计划生育事务支出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食品和药品监督管理事务</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2101001</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2101099</w:t>
            </w:r>
          </w:p>
        </w:tc>
        <w:tc>
          <w:tcPr>
            <w:tcW w:w="18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其他食品和药品监督管理事务支出</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6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11,987,473.00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30,067,364.00</w:t>
            </w:r>
          </w:p>
        </w:tc>
        <w:tc>
          <w:tcPr>
            <w:tcW w:w="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p/>
    <w:p/>
    <w:p/>
    <w:p/>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3"/>
        <w:gridCol w:w="2379"/>
        <w:gridCol w:w="2187"/>
        <w:gridCol w:w="1406"/>
        <w:gridCol w:w="1300"/>
        <w:gridCol w:w="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shd w:val="clear"/>
            <w:vAlign w:val="center"/>
          </w:tcPr>
          <w:p>
            <w:pPr>
              <w:jc w:val="both"/>
              <w:rPr>
                <w:rFonts w:hint="eastAsia" w:ascii="宋体" w:hAnsi="宋体" w:eastAsia="宋体" w:cs="宋体"/>
                <w:i w:val="0"/>
                <w:color w:val="000000"/>
                <w:sz w:val="21"/>
                <w:szCs w:val="21"/>
                <w:u w:val="none"/>
              </w:rPr>
            </w:pPr>
          </w:p>
        </w:tc>
        <w:tc>
          <w:tcPr>
            <w:tcW w:w="2379" w:type="dxa"/>
            <w:shd w:val="clear"/>
            <w:vAlign w:val="center"/>
          </w:tcPr>
          <w:p>
            <w:pPr>
              <w:rPr>
                <w:rFonts w:hint="eastAsia" w:ascii="宋体" w:hAnsi="宋体" w:eastAsia="宋体" w:cs="宋体"/>
                <w:i w:val="0"/>
                <w:color w:val="000000"/>
                <w:sz w:val="22"/>
                <w:szCs w:val="22"/>
                <w:u w:val="none"/>
              </w:rPr>
            </w:pPr>
          </w:p>
        </w:tc>
        <w:tc>
          <w:tcPr>
            <w:tcW w:w="2187" w:type="dxa"/>
            <w:shd w:val="clear"/>
            <w:vAlign w:val="center"/>
          </w:tcPr>
          <w:p>
            <w:pPr>
              <w:rPr>
                <w:rFonts w:hint="eastAsia" w:ascii="宋体" w:hAnsi="宋体" w:eastAsia="宋体" w:cs="宋体"/>
                <w:i w:val="0"/>
                <w:color w:val="000000"/>
                <w:sz w:val="22"/>
                <w:szCs w:val="22"/>
                <w:u w:val="none"/>
              </w:rPr>
            </w:pPr>
          </w:p>
        </w:tc>
        <w:tc>
          <w:tcPr>
            <w:tcW w:w="1406" w:type="dxa"/>
            <w:shd w:val="clear"/>
            <w:vAlign w:val="center"/>
          </w:tcPr>
          <w:p>
            <w:pPr>
              <w:rPr>
                <w:rFonts w:hint="eastAsia" w:ascii="宋体" w:hAnsi="宋体" w:eastAsia="宋体" w:cs="宋体"/>
                <w:i w:val="0"/>
                <w:color w:val="000000"/>
                <w:sz w:val="22"/>
                <w:szCs w:val="22"/>
                <w:u w:val="none"/>
              </w:rPr>
            </w:pPr>
          </w:p>
        </w:tc>
        <w:tc>
          <w:tcPr>
            <w:tcW w:w="1645"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0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8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3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10,366,130.00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10,366,130.00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1,898,912.00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1,898,912.00</w:t>
            </w:r>
          </w:p>
        </w:tc>
        <w:tc>
          <w:tcPr>
            <w:tcW w:w="1300" w:type="dxa"/>
            <w:shd w:val="clear"/>
            <w:vAlign w:val="center"/>
          </w:tcPr>
          <w:p>
            <w:pPr>
              <w:rPr>
                <w:rFonts w:hint="eastAsia" w:ascii="宋体" w:hAnsi="宋体" w:eastAsia="宋体" w:cs="宋体"/>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6,314,228.00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6,314,228.00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2,152,990.00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2,152,990.00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1,335,546.00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1,335,546.00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486,336.00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486,336.00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105,869.00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105,869.00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35,263.00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35,263.00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81,760.00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81,760.00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189,030.00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189,030.00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51,622.00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51,622.00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152,034.00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152,034.00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2379"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78,962.00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78,962.00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135,169.00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135,169.00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2187"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19,501.00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19,501.00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285,797.00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285,797.00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285,797.00</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285,797.00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09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1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11,987,473.00 </w:t>
            </w:r>
          </w:p>
        </w:tc>
        <w:tc>
          <w:tcPr>
            <w:tcW w:w="14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10,651,927.00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1,335,546.00</w:t>
            </w:r>
          </w:p>
        </w:tc>
        <w:tc>
          <w:tcPr>
            <w:tcW w:w="3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p/>
    <w:p/>
    <w:p/>
    <w:p/>
    <w:tbl>
      <w:tblPr>
        <w:tblStyle w:val="7"/>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19,501.00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19,501.00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19,501.00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19,501.00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19,501.00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19,501.00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7"/>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28"/>
        <w:gridCol w:w="2513"/>
        <w:gridCol w:w="2228"/>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128" w:type="dxa"/>
            <w:shd w:val="clear"/>
            <w:vAlign w:val="center"/>
          </w:tcPr>
          <w:p>
            <w:pPr>
              <w:jc w:val="left"/>
              <w:rPr>
                <w:rFonts w:hint="eastAsia" w:ascii="宋体" w:hAnsi="宋体" w:eastAsia="宋体" w:cs="宋体"/>
                <w:i w:val="0"/>
                <w:color w:val="000000"/>
                <w:sz w:val="21"/>
                <w:szCs w:val="21"/>
                <w:u w:val="none"/>
              </w:rPr>
            </w:pPr>
          </w:p>
        </w:tc>
        <w:tc>
          <w:tcPr>
            <w:tcW w:w="2513" w:type="dxa"/>
            <w:shd w:val="clear"/>
            <w:vAlign w:val="center"/>
          </w:tcPr>
          <w:p>
            <w:pPr>
              <w:rPr>
                <w:rFonts w:hint="eastAsia" w:ascii="宋体" w:hAnsi="宋体" w:eastAsia="宋体" w:cs="宋体"/>
                <w:i w:val="0"/>
                <w:color w:val="000000"/>
                <w:sz w:val="22"/>
                <w:szCs w:val="22"/>
                <w:u w:val="none"/>
              </w:rPr>
            </w:pPr>
          </w:p>
        </w:tc>
        <w:tc>
          <w:tcPr>
            <w:tcW w:w="2228" w:type="dxa"/>
            <w:shd w:val="clear"/>
            <w:vAlign w:val="center"/>
          </w:tcPr>
          <w:p>
            <w:pPr>
              <w:rPr>
                <w:rFonts w:hint="eastAsia" w:ascii="宋体" w:hAnsi="宋体" w:eastAsia="宋体" w:cs="宋体"/>
                <w:i w:val="0"/>
                <w:color w:val="000000"/>
                <w:sz w:val="22"/>
                <w:szCs w:val="22"/>
                <w:u w:val="none"/>
              </w:rPr>
            </w:pPr>
          </w:p>
        </w:tc>
        <w:tc>
          <w:tcPr>
            <w:tcW w:w="1461"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6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42,054,837.00</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42,054,837.00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513"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42,054,837.00</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42,054,837.00 </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42,054,837.00 </w:t>
            </w:r>
          </w:p>
        </w:tc>
      </w:tr>
    </w:tbl>
    <w:p/>
    <w:p/>
    <w:p/>
    <w:p/>
    <w:tbl>
      <w:tblPr>
        <w:tblW w:w="96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0"/>
        <w:gridCol w:w="2099"/>
        <w:gridCol w:w="1562"/>
        <w:gridCol w:w="421"/>
        <w:gridCol w:w="1346"/>
        <w:gridCol w:w="555"/>
        <w:gridCol w:w="380"/>
        <w:gridCol w:w="535"/>
        <w:gridCol w:w="544"/>
        <w:gridCol w:w="493"/>
        <w:gridCol w:w="350"/>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9662"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2099" w:type="dxa"/>
            <w:shd w:val="clear"/>
            <w:vAlign w:val="center"/>
          </w:tcPr>
          <w:p>
            <w:pPr>
              <w:rPr>
                <w:rFonts w:hint="eastAsia" w:ascii="宋体" w:hAnsi="宋体" w:eastAsia="宋体" w:cs="宋体"/>
                <w:i w:val="0"/>
                <w:color w:val="000000"/>
                <w:sz w:val="22"/>
                <w:szCs w:val="22"/>
                <w:u w:val="none"/>
              </w:rPr>
            </w:pPr>
          </w:p>
        </w:tc>
        <w:tc>
          <w:tcPr>
            <w:tcW w:w="1562" w:type="dxa"/>
            <w:shd w:val="clear"/>
            <w:vAlign w:val="center"/>
          </w:tcPr>
          <w:p>
            <w:pPr>
              <w:rPr>
                <w:rFonts w:hint="eastAsia" w:ascii="宋体" w:hAnsi="宋体" w:eastAsia="宋体" w:cs="宋体"/>
                <w:i w:val="0"/>
                <w:color w:val="000000"/>
                <w:sz w:val="22"/>
                <w:szCs w:val="22"/>
                <w:u w:val="none"/>
              </w:rPr>
            </w:pPr>
          </w:p>
        </w:tc>
        <w:tc>
          <w:tcPr>
            <w:tcW w:w="421" w:type="dxa"/>
            <w:shd w:val="clear"/>
            <w:vAlign w:val="center"/>
          </w:tcPr>
          <w:p>
            <w:pPr>
              <w:rPr>
                <w:rFonts w:hint="eastAsia" w:ascii="宋体" w:hAnsi="宋体" w:eastAsia="宋体" w:cs="宋体"/>
                <w:i w:val="0"/>
                <w:color w:val="000000"/>
                <w:sz w:val="22"/>
                <w:szCs w:val="22"/>
                <w:u w:val="none"/>
              </w:rPr>
            </w:pPr>
          </w:p>
        </w:tc>
        <w:tc>
          <w:tcPr>
            <w:tcW w:w="1346" w:type="dxa"/>
            <w:shd w:val="clear"/>
            <w:vAlign w:val="center"/>
          </w:tcPr>
          <w:p>
            <w:pPr>
              <w:rPr>
                <w:rFonts w:hint="eastAsia" w:ascii="宋体" w:hAnsi="宋体" w:eastAsia="宋体" w:cs="宋体"/>
                <w:i w:val="0"/>
                <w:color w:val="000000"/>
                <w:sz w:val="22"/>
                <w:szCs w:val="22"/>
                <w:u w:val="none"/>
              </w:rPr>
            </w:pPr>
          </w:p>
        </w:tc>
        <w:tc>
          <w:tcPr>
            <w:tcW w:w="555" w:type="dxa"/>
            <w:shd w:val="clear"/>
            <w:vAlign w:val="center"/>
          </w:tcPr>
          <w:p>
            <w:pPr>
              <w:rPr>
                <w:rFonts w:hint="eastAsia" w:ascii="宋体" w:hAnsi="宋体" w:eastAsia="宋体" w:cs="宋体"/>
                <w:i w:val="0"/>
                <w:color w:val="000000"/>
                <w:sz w:val="22"/>
                <w:szCs w:val="22"/>
                <w:u w:val="none"/>
              </w:rPr>
            </w:pPr>
          </w:p>
        </w:tc>
        <w:tc>
          <w:tcPr>
            <w:tcW w:w="380" w:type="dxa"/>
            <w:shd w:val="clear"/>
            <w:vAlign w:val="center"/>
          </w:tcPr>
          <w:p>
            <w:pPr>
              <w:rPr>
                <w:rFonts w:hint="eastAsia" w:ascii="宋体" w:hAnsi="宋体" w:eastAsia="宋体" w:cs="宋体"/>
                <w:i w:val="0"/>
                <w:color w:val="000000"/>
                <w:sz w:val="22"/>
                <w:szCs w:val="22"/>
                <w:u w:val="none"/>
              </w:rPr>
            </w:pPr>
          </w:p>
        </w:tc>
        <w:tc>
          <w:tcPr>
            <w:tcW w:w="535" w:type="dxa"/>
            <w:shd w:val="clear"/>
            <w:vAlign w:val="center"/>
          </w:tcPr>
          <w:p>
            <w:pPr>
              <w:rPr>
                <w:rFonts w:hint="eastAsia" w:ascii="宋体" w:hAnsi="宋体" w:eastAsia="宋体" w:cs="宋体"/>
                <w:i w:val="0"/>
                <w:color w:val="000000"/>
                <w:sz w:val="22"/>
                <w:szCs w:val="22"/>
                <w:u w:val="none"/>
              </w:rPr>
            </w:pPr>
          </w:p>
        </w:tc>
        <w:tc>
          <w:tcPr>
            <w:tcW w:w="544" w:type="dxa"/>
            <w:shd w:val="clear"/>
            <w:vAlign w:val="center"/>
          </w:tcPr>
          <w:p>
            <w:pPr>
              <w:rPr>
                <w:rFonts w:hint="eastAsia" w:ascii="宋体" w:hAnsi="宋体" w:eastAsia="宋体" w:cs="宋体"/>
                <w:i w:val="0"/>
                <w:color w:val="000000"/>
                <w:sz w:val="22"/>
                <w:szCs w:val="22"/>
                <w:u w:val="none"/>
              </w:rPr>
            </w:pPr>
          </w:p>
        </w:tc>
        <w:tc>
          <w:tcPr>
            <w:tcW w:w="493" w:type="dxa"/>
            <w:shd w:val="clear"/>
            <w:vAlign w:val="center"/>
          </w:tcPr>
          <w:p>
            <w:pPr>
              <w:rPr>
                <w:rFonts w:hint="eastAsia" w:ascii="宋体" w:hAnsi="宋体" w:eastAsia="宋体" w:cs="宋体"/>
                <w:i w:val="0"/>
                <w:color w:val="000000"/>
                <w:sz w:val="22"/>
                <w:szCs w:val="22"/>
                <w:u w:val="none"/>
              </w:rPr>
            </w:pPr>
          </w:p>
        </w:tc>
        <w:tc>
          <w:tcPr>
            <w:tcW w:w="947"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7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医疗卫生与计划生育管理事务</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1,634,420.00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1,634,420.00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1,227,620.00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1,227,620.00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其他医疗卫生与计划生育管理事务支出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公立医院</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综合医院</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基层医疗卫生机构</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7,415,917.00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7,415,917.00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2100302</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乡镇卫生院</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6,001,917.00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6,001,917.00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其他基层医疗卫生机构支出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公共卫生</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8,355,846.00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8,355,846.00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疾病预防控制机构</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4,589,136.00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4,589,136.00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2100402</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卫生监督机构</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2100403</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妇幼保健机构</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2100404</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精神卫生机构</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2100408</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基本公共卫生服务</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重大公共卫生专项</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其他公共卫生支出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2100506</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新型农村合作医疗</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2100510</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疾病应急救助</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中医药</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中医（民族医）药专项</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计划生育事务</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其他计划生育事务支出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食品和药品监督管理事务</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433,800.00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433,800.00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2101001</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168,800.00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168,800.00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2101099</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其他食品和药品监督管理事务支出</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0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4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8"/>
        <w:gridCol w:w="1506"/>
        <w:gridCol w:w="1395"/>
        <w:gridCol w:w="1460"/>
        <w:gridCol w:w="1395"/>
        <w:gridCol w:w="570"/>
        <w:gridCol w:w="702"/>
        <w:gridCol w:w="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798"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32"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98" w:type="dxa"/>
            <w:shd w:val="clear"/>
            <w:vAlign w:val="center"/>
          </w:tcPr>
          <w:p>
            <w:pPr>
              <w:jc w:val="left"/>
              <w:rPr>
                <w:rFonts w:hint="eastAsia" w:ascii="宋体" w:hAnsi="宋体" w:eastAsia="宋体" w:cs="宋体"/>
                <w:i w:val="0"/>
                <w:color w:val="000000"/>
                <w:sz w:val="21"/>
                <w:szCs w:val="21"/>
                <w:u w:val="none"/>
              </w:rPr>
            </w:pPr>
          </w:p>
        </w:tc>
        <w:tc>
          <w:tcPr>
            <w:tcW w:w="1506"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1460"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570" w:type="dxa"/>
            <w:shd w:val="clear"/>
            <w:vAlign w:val="center"/>
          </w:tcPr>
          <w:p>
            <w:pPr>
              <w:rPr>
                <w:rFonts w:hint="eastAsia" w:ascii="宋体" w:hAnsi="宋体" w:eastAsia="宋体" w:cs="宋体"/>
                <w:i w:val="0"/>
                <w:color w:val="000000"/>
                <w:sz w:val="22"/>
                <w:szCs w:val="22"/>
                <w:u w:val="none"/>
              </w:rPr>
            </w:pPr>
          </w:p>
        </w:tc>
        <w:tc>
          <w:tcPr>
            <w:tcW w:w="1206"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30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11,987,473.00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30,067,364.00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医疗卫生与计划生育管理事务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1,634,420.00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1,227,620.00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1,227,620.00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1,227,620.00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2100199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其他医疗卫生与计划生育管理事务支出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406,800.00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公立医院</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2100201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综合医院</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基层医疗卫生机构</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7,415,917.00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6,001,917.00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2100302</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乡镇卫生院</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6,001,917.00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6,001,917.00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2100399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其他基层医疗卫生机构支出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1,414,000.00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公共卫生</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8,355,846.00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4,589,136.00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3,766,710.00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疾病预防控制机构</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4,589,136.00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4,589,136.00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2100402</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卫生监督机构</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2100403</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妇幼保健机构</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2100404</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精神卫生机构</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2100408</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基本公共卫生服务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2,125,300.00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2100409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重大公共卫生专项</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1,035,610.00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2100499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其他公共卫生支出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369,300.00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19,316,134.00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54,509.40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18,284.60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2100506</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新型农村合作医疗</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16,727,700.00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2100510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疾病应急救助</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2,095,640.00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中医药</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2100601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中医（民族医）药专项</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计划生育事务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2100799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其他计划生育事务支出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1,798,720.00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食品和药品监督管理事务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433,800.00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168,800.00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2101099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其他食品和药品监督管理事务支出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265,000.00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42,054,837.00</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11,987,473.00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30,067,364.00</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 xml:space="preserve">乃东区卫生局（人口与计划生育委员会） </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医疗卫生与计划生育支出42054837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42054837元，</w:t>
      </w:r>
      <w:r>
        <w:rPr>
          <w:rFonts w:hint="eastAsia" w:ascii="仿宋_GB2312" w:hAnsi="仿宋_GB2312" w:eastAsia="仿宋_GB2312" w:cs="仿宋_GB2312"/>
          <w:color w:val="000000" w:themeColor="text1"/>
          <w:sz w:val="32"/>
          <w:szCs w:val="26"/>
          <w14:textFill>
            <w14:solidFill>
              <w14:schemeClr w14:val="tx1"/>
            </w14:solidFill>
          </w14:textFill>
        </w:rPr>
        <w:t>201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26"/>
          <w14:textFill>
            <w14:solidFill>
              <w14:schemeClr w14:val="tx1"/>
            </w14:solidFill>
          </w14:textFill>
        </w:rPr>
        <w:t>年一般公共</w:t>
      </w:r>
      <w:r>
        <w:rPr>
          <w:rFonts w:hint="eastAsia" w:ascii="仿宋_GB2312" w:hAnsi="仿宋_GB2312" w:eastAsia="仿宋_GB2312" w:cs="仿宋_GB2312"/>
          <w:color w:val="000000" w:themeColor="text1"/>
          <w:sz w:val="32"/>
          <w:szCs w:val="26"/>
          <w:lang w:eastAsia="zh-CN"/>
          <w14:textFill>
            <w14:solidFill>
              <w14:schemeClr w14:val="tx1"/>
            </w14:solidFill>
          </w14:textFill>
        </w:rPr>
        <w:t>决算</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1225105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，同比增加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40829732元。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医疗卫生与计划生育支出42054837</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医疗卫生与计划生育支出420548370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医疗卫生与计划生育管理事务</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1634420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1227620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10366130</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1335546</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285797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）其他医疗卫生与计划生育管理事务支出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406800元。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2、公立医院支出3000000元。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（1）综合医院3000000元。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3、基层医疗卫生机构7415917元。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（1）乡镇卫生院6001917元。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（2）其他基层医疗卫生机构支出1414000元。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4、公共卫生支出8355846元。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（1）疾病预防控制机构4589136元。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（2）卫生监督机构121000元。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（3）妇幼保健机构75500元。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（4）精神卫生机构40000元。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（5）基本公共卫生服务2125300元。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（6）重大公共卫生专项1035610元。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（7）其他公共卫生支出369300元。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5、医疗保障19316134元。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（1）行政单位医疗54509.4元。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（2）事业单位医疗18284.6元。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（3）新型农村合作医疗16727700元。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（4）疾病应急救助420000元。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（5）其他医疗保障支出2095640元。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6、中医院100000元。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（1）中医（民族医）药专项100000元。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7、计划生育事务1798720元。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（1）其他计划生育事务支出1798720元。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8、食品和药品监督管理事务433800元。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（1）行政运行168800元。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（2）其他食品和药品监督管理事务支出265000元。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11987473</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10366130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86.48</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1335546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11.14</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285797</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2.38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19501元，实际支出19501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w:t>
      </w:r>
      <w:r>
        <w:rPr>
          <w:rFonts w:hint="eastAsia" w:ascii="仿宋_GB2312" w:hAnsi="仿宋_GB2312" w:eastAsia="仿宋_GB2312" w:cs="仿宋_GB2312"/>
          <w:b w:val="0"/>
          <w:bCs w:val="0"/>
          <w:color w:val="000000" w:themeColor="text1"/>
          <w:sz w:val="32"/>
          <w:szCs w:val="26"/>
          <w:lang w:val="en-US" w:eastAsia="zh-CN"/>
          <w14:textFill>
            <w14:solidFill>
              <w14:schemeClr w14:val="tx1"/>
            </w14:solidFill>
          </w14:textFill>
        </w:rPr>
        <w:t>出116121.56</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元，同比减少96620.56元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19501</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19501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2015年公务用车运行维护费决算支出116121.56，同比减少96620.56元。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42054837</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hint="eastAsia" w:ascii="微软雅黑" w:hAnsi="微软雅黑" w:eastAsia="仿宋"/>
          <w:color w:val="444444"/>
          <w:sz w:val="28"/>
          <w:szCs w:val="28"/>
        </w:rPr>
      </w:pPr>
      <w:bookmarkStart w:id="0" w:name="_GoBack"/>
      <w:bookmarkEnd w:id="0"/>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28219"/>
    <w:multiLevelType w:val="singleLevel"/>
    <w:tmpl w:val="CAE28219"/>
    <w:lvl w:ilvl="0" w:tentative="0">
      <w:start w:val="7"/>
      <w:numFmt w:val="chineseCounting"/>
      <w:suff w:val="nothing"/>
      <w:lvlText w:val="（%1）"/>
      <w:lvlJc w:val="left"/>
      <w:pPr>
        <w:ind w:left="640" w:firstLine="0"/>
      </w:pPr>
      <w:rPr>
        <w:rFonts w:hint="eastAsia"/>
      </w:rPr>
    </w:lvl>
  </w:abstractNum>
  <w:abstractNum w:abstractNumId="1">
    <w:nsid w:val="2D0DE9E6"/>
    <w:multiLevelType w:val="singleLevel"/>
    <w:tmpl w:val="2D0DE9E6"/>
    <w:lvl w:ilvl="0" w:tentative="0">
      <w:start w:val="1"/>
      <w:numFmt w:val="chineseCounting"/>
      <w:suff w:val="nothing"/>
      <w:lvlText w:val="%1、"/>
      <w:lvlJc w:val="left"/>
      <w:rPr>
        <w:rFonts w:hint="eastAsia"/>
      </w:rPr>
    </w:lvl>
  </w:abstractNum>
  <w:abstractNum w:abstractNumId="2">
    <w:nsid w:val="2DD0A523"/>
    <w:multiLevelType w:val="singleLevel"/>
    <w:tmpl w:val="2DD0A523"/>
    <w:lvl w:ilvl="0" w:tentative="0">
      <w:start w:val="1"/>
      <w:numFmt w:val="chineseCounting"/>
      <w:suff w:val="nothing"/>
      <w:lvlText w:val="%1、"/>
      <w:lvlJc w:val="left"/>
      <w:rPr>
        <w:rFonts w:hint="eastAsia"/>
      </w:rPr>
    </w:lvl>
  </w:abstractNum>
  <w:abstractNum w:abstractNumId="3">
    <w:nsid w:val="531C98D2"/>
    <w:multiLevelType w:val="singleLevel"/>
    <w:tmpl w:val="531C98D2"/>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0D137D19"/>
    <w:rsid w:val="13F106A8"/>
    <w:rsid w:val="17C05461"/>
    <w:rsid w:val="1D9E79D6"/>
    <w:rsid w:val="1EE541ED"/>
    <w:rsid w:val="21744EDD"/>
    <w:rsid w:val="26E57E8B"/>
    <w:rsid w:val="28265A2A"/>
    <w:rsid w:val="28D878CD"/>
    <w:rsid w:val="396D5533"/>
    <w:rsid w:val="3EDC4B6D"/>
    <w:rsid w:val="3EE36A25"/>
    <w:rsid w:val="414941D9"/>
    <w:rsid w:val="43603CEB"/>
    <w:rsid w:val="44890A8C"/>
    <w:rsid w:val="45222F42"/>
    <w:rsid w:val="461360DA"/>
    <w:rsid w:val="472A34F9"/>
    <w:rsid w:val="48B676D7"/>
    <w:rsid w:val="4B020017"/>
    <w:rsid w:val="52261CA9"/>
    <w:rsid w:val="60421676"/>
    <w:rsid w:val="609D6910"/>
    <w:rsid w:val="66516B3F"/>
    <w:rsid w:val="699A1B94"/>
    <w:rsid w:val="6C92316B"/>
    <w:rsid w:val="74B37C4F"/>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character" w:customStyle="1" w:styleId="8">
    <w:name w:val="font01"/>
    <w:basedOn w:val="5"/>
    <w:qFormat/>
    <w:uiPriority w:val="0"/>
    <w:rPr>
      <w:rFonts w:hint="eastAsia" w:ascii="宋体" w:hAnsi="宋体" w:eastAsia="宋体" w:cs="宋体"/>
      <w:b/>
      <w:color w:val="000000"/>
      <w:sz w:val="24"/>
      <w:szCs w:val="24"/>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 w:type="character" w:customStyle="1" w:styleId="10">
    <w:name w:val="font31"/>
    <w:basedOn w:val="5"/>
    <w:qFormat/>
    <w:uiPriority w:val="0"/>
    <w:rPr>
      <w:rFonts w:hint="eastAsia" w:ascii="宋体" w:hAnsi="宋体" w:eastAsia="宋体" w:cs="宋体"/>
      <w:color w:val="000000"/>
      <w:sz w:val="22"/>
      <w:szCs w:val="22"/>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font61"/>
    <w:basedOn w:val="5"/>
    <w:qFormat/>
    <w:uiPriority w:val="0"/>
    <w:rPr>
      <w:rFonts w:hint="eastAsia" w:ascii="宋体" w:hAnsi="宋体" w:eastAsia="宋体" w:cs="宋体"/>
      <w:color w:val="000000"/>
      <w:sz w:val="24"/>
      <w:szCs w:val="24"/>
      <w:u w:val="none"/>
    </w:rPr>
  </w:style>
  <w:style w:type="paragraph" w:customStyle="1" w:styleId="13">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14">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3</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2018-12-31T08:30:37Z</cp:lastPrinted>
  <dcterms:modified xsi:type="dcterms:W3CDTF">2018-12-31T08:49:11Z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