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00" w:lineRule="exact"/>
        <w:rPr>
          <w:sz w:val="20"/>
          <w:szCs w:val="20"/>
        </w:rPr>
      </w:pPr>
    </w:p>
    <w:p>
      <w:pPr>
        <w:spacing w:after="0" w:line="200" w:lineRule="exact"/>
        <w:rPr>
          <w:sz w:val="20"/>
          <w:szCs w:val="20"/>
        </w:rPr>
      </w:pPr>
    </w:p>
    <w:p>
      <w:pPr>
        <w:spacing w:after="0" w:line="200" w:lineRule="exact"/>
        <w:rPr>
          <w:sz w:val="20"/>
          <w:szCs w:val="20"/>
        </w:rPr>
      </w:pPr>
    </w:p>
    <w:p>
      <w:pPr>
        <w:spacing w:after="0" w:line="200" w:lineRule="exact"/>
        <w:rPr>
          <w:sz w:val="20"/>
          <w:szCs w:val="20"/>
        </w:rPr>
      </w:pPr>
    </w:p>
    <w:p>
      <w:pPr>
        <w:spacing w:after="0" w:line="200" w:lineRule="exact"/>
        <w:rPr>
          <w:sz w:val="20"/>
          <w:szCs w:val="20"/>
        </w:rPr>
      </w:pPr>
    </w:p>
    <w:p>
      <w:pPr>
        <w:spacing w:after="0" w:line="200" w:lineRule="exact"/>
        <w:rPr>
          <w:sz w:val="20"/>
          <w:szCs w:val="20"/>
        </w:rPr>
      </w:pPr>
    </w:p>
    <w:p>
      <w:pPr>
        <w:spacing w:after="0" w:line="200" w:lineRule="exact"/>
        <w:rPr>
          <w:sz w:val="20"/>
          <w:szCs w:val="20"/>
        </w:rPr>
      </w:pPr>
    </w:p>
    <w:p>
      <w:pPr>
        <w:spacing w:after="0" w:line="200" w:lineRule="exact"/>
        <w:rPr>
          <w:sz w:val="20"/>
          <w:szCs w:val="20"/>
        </w:rPr>
      </w:pPr>
    </w:p>
    <w:p>
      <w:pPr>
        <w:spacing w:after="0" w:line="200" w:lineRule="exact"/>
        <w:rPr>
          <w:sz w:val="20"/>
          <w:szCs w:val="20"/>
        </w:rPr>
      </w:pPr>
    </w:p>
    <w:p>
      <w:pPr>
        <w:spacing w:after="0" w:line="200" w:lineRule="exact"/>
        <w:rPr>
          <w:sz w:val="20"/>
          <w:szCs w:val="20"/>
        </w:rPr>
      </w:pPr>
    </w:p>
    <w:p>
      <w:pPr>
        <w:spacing w:after="0" w:line="200" w:lineRule="exact"/>
        <w:rPr>
          <w:sz w:val="20"/>
          <w:szCs w:val="20"/>
        </w:rPr>
      </w:pPr>
    </w:p>
    <w:p>
      <w:pPr>
        <w:spacing w:after="0" w:line="200" w:lineRule="exact"/>
        <w:rPr>
          <w:sz w:val="20"/>
          <w:szCs w:val="20"/>
        </w:rPr>
      </w:pPr>
    </w:p>
    <w:p>
      <w:pPr>
        <w:spacing w:after="0" w:line="200" w:lineRule="exact"/>
        <w:rPr>
          <w:sz w:val="20"/>
          <w:szCs w:val="20"/>
        </w:rPr>
      </w:pPr>
    </w:p>
    <w:p>
      <w:pPr>
        <w:spacing w:after="0" w:line="200" w:lineRule="exact"/>
        <w:rPr>
          <w:sz w:val="20"/>
          <w:szCs w:val="20"/>
        </w:rPr>
      </w:pPr>
    </w:p>
    <w:p>
      <w:pPr>
        <w:spacing w:after="0" w:line="200" w:lineRule="exact"/>
        <w:rPr>
          <w:sz w:val="20"/>
          <w:szCs w:val="20"/>
        </w:rPr>
      </w:pPr>
    </w:p>
    <w:p>
      <w:pPr>
        <w:spacing w:after="0" w:line="200" w:lineRule="exact"/>
        <w:rPr>
          <w:sz w:val="20"/>
          <w:szCs w:val="20"/>
        </w:rPr>
      </w:pPr>
    </w:p>
    <w:p>
      <w:pPr>
        <w:spacing w:after="0" w:line="200" w:lineRule="exact"/>
        <w:rPr>
          <w:sz w:val="20"/>
          <w:szCs w:val="20"/>
        </w:rPr>
      </w:pPr>
    </w:p>
    <w:p>
      <w:pPr>
        <w:spacing w:after="0" w:line="200" w:lineRule="exact"/>
        <w:rPr>
          <w:sz w:val="20"/>
          <w:szCs w:val="20"/>
        </w:rPr>
      </w:pPr>
    </w:p>
    <w:p>
      <w:pPr>
        <w:spacing w:after="0" w:line="200" w:lineRule="exact"/>
        <w:rPr>
          <w:sz w:val="20"/>
          <w:szCs w:val="20"/>
        </w:rPr>
      </w:pPr>
    </w:p>
    <w:p>
      <w:pPr>
        <w:spacing w:after="0" w:line="200" w:lineRule="exact"/>
        <w:rPr>
          <w:sz w:val="20"/>
          <w:szCs w:val="20"/>
        </w:rPr>
      </w:pPr>
    </w:p>
    <w:p>
      <w:pPr>
        <w:spacing w:after="0" w:line="200" w:lineRule="exact"/>
        <w:rPr>
          <w:sz w:val="20"/>
          <w:szCs w:val="20"/>
        </w:rPr>
      </w:pPr>
    </w:p>
    <w:p>
      <w:pPr>
        <w:spacing w:after="0" w:line="900" w:lineRule="exact"/>
        <w:ind w:left="198" w:right="181"/>
        <w:jc w:val="center"/>
        <w:rPr>
          <w:rFonts w:ascii="黑体" w:hAnsi="黑体" w:eastAsia="黑体" w:cs="黑体"/>
          <w:sz w:val="84"/>
          <w:szCs w:val="84"/>
          <w:lang w:eastAsia="zh-CN"/>
        </w:rPr>
      </w:pPr>
      <w:r>
        <w:rPr>
          <w:rFonts w:ascii="黑体" w:hAnsi="黑体" w:eastAsia="黑体" w:cs="黑体"/>
          <w:spacing w:val="-209"/>
          <w:position w:val="-5"/>
          <w:sz w:val="84"/>
          <w:szCs w:val="84"/>
          <w:lang w:eastAsia="zh-CN"/>
        </w:rPr>
        <w:t xml:space="preserve"> </w:t>
      </w:r>
      <w:r>
        <w:rPr>
          <w:rFonts w:hint="eastAsia" w:ascii="黑体" w:hAnsi="黑体" w:eastAsia="黑体" w:cs="黑体"/>
          <w:position w:val="-5"/>
          <w:sz w:val="84"/>
          <w:szCs w:val="84"/>
          <w:lang w:eastAsia="zh-CN"/>
        </w:rPr>
        <w:t>乃东区商务局</w:t>
      </w:r>
      <w:r>
        <w:rPr>
          <w:rFonts w:ascii="黑体" w:hAnsi="黑体" w:eastAsia="黑体" w:cs="黑体"/>
          <w:position w:val="-5"/>
          <w:sz w:val="84"/>
          <w:szCs w:val="84"/>
          <w:lang w:eastAsia="zh-CN"/>
        </w:rPr>
        <w:t>201</w:t>
      </w:r>
      <w:r>
        <w:rPr>
          <w:rFonts w:hint="eastAsia" w:ascii="黑体" w:hAnsi="黑体" w:eastAsia="黑体" w:cs="黑体"/>
          <w:position w:val="-5"/>
          <w:sz w:val="84"/>
          <w:szCs w:val="84"/>
          <w:lang w:eastAsia="zh-CN"/>
        </w:rPr>
        <w:t>6</w:t>
      </w:r>
      <w:r>
        <w:rPr>
          <w:rFonts w:ascii="黑体" w:hAnsi="黑体" w:eastAsia="黑体" w:cs="黑体"/>
          <w:position w:val="-5"/>
          <w:sz w:val="84"/>
          <w:szCs w:val="84"/>
          <w:lang w:eastAsia="zh-CN"/>
        </w:rPr>
        <w:t>年</w:t>
      </w:r>
      <w:r>
        <w:rPr>
          <w:rFonts w:ascii="黑体" w:hAnsi="黑体" w:eastAsia="黑体" w:cs="黑体"/>
          <w:sz w:val="84"/>
          <w:szCs w:val="84"/>
          <w:lang w:eastAsia="zh-CN"/>
        </w:rPr>
        <w:t>部门</w:t>
      </w:r>
      <w:r>
        <w:rPr>
          <w:rFonts w:hint="eastAsia" w:ascii="黑体" w:hAnsi="黑体" w:eastAsia="黑体" w:cs="黑体"/>
          <w:sz w:val="84"/>
          <w:szCs w:val="84"/>
          <w:lang w:eastAsia="zh-CN"/>
        </w:rPr>
        <w:t>决</w:t>
      </w:r>
      <w:r>
        <w:rPr>
          <w:rFonts w:ascii="黑体" w:hAnsi="黑体" w:eastAsia="黑体" w:cs="黑体"/>
          <w:sz w:val="84"/>
          <w:szCs w:val="84"/>
          <w:lang w:eastAsia="zh-CN"/>
        </w:rPr>
        <w:t>算</w:t>
      </w:r>
    </w:p>
    <w:p>
      <w:pPr>
        <w:spacing w:after="0" w:line="240" w:lineRule="auto"/>
        <w:jc w:val="center"/>
        <w:rPr>
          <w:rFonts w:ascii="黑体" w:hAnsi="黑体" w:eastAsia="黑体" w:cs="黑体"/>
          <w:sz w:val="84"/>
          <w:szCs w:val="84"/>
          <w:lang w:eastAsia="zh-CN"/>
        </w:rPr>
        <w:sectPr>
          <w:pgSz w:w="11920" w:h="16840"/>
          <w:pgMar w:top="1560" w:right="1680" w:bottom="280" w:left="1680" w:header="720" w:footer="720" w:gutter="0"/>
          <w:cols w:space="720" w:num="1"/>
        </w:sectPr>
      </w:pPr>
    </w:p>
    <w:p>
      <w:pPr>
        <w:spacing w:after="0" w:line="200" w:lineRule="exact"/>
        <w:rPr>
          <w:sz w:val="20"/>
          <w:szCs w:val="20"/>
          <w:lang w:eastAsia="zh-CN"/>
        </w:rPr>
      </w:pPr>
    </w:p>
    <w:p>
      <w:pPr>
        <w:spacing w:after="0" w:line="200" w:lineRule="exact"/>
        <w:rPr>
          <w:sz w:val="20"/>
          <w:szCs w:val="20"/>
          <w:lang w:eastAsia="zh-CN"/>
        </w:rPr>
      </w:pPr>
    </w:p>
    <w:p>
      <w:pPr>
        <w:spacing w:after="0" w:line="200" w:lineRule="exact"/>
        <w:rPr>
          <w:sz w:val="20"/>
          <w:szCs w:val="20"/>
          <w:lang w:eastAsia="zh-CN"/>
        </w:rPr>
      </w:pPr>
    </w:p>
    <w:p>
      <w:pPr>
        <w:spacing w:after="0" w:line="200" w:lineRule="exact"/>
        <w:rPr>
          <w:sz w:val="20"/>
          <w:szCs w:val="20"/>
          <w:lang w:eastAsia="zh-CN"/>
        </w:rPr>
      </w:pPr>
    </w:p>
    <w:p>
      <w:pPr>
        <w:spacing w:after="0" w:line="200" w:lineRule="exact"/>
        <w:rPr>
          <w:sz w:val="20"/>
          <w:szCs w:val="20"/>
          <w:lang w:eastAsia="zh-CN"/>
        </w:rPr>
      </w:pPr>
    </w:p>
    <w:p>
      <w:pPr>
        <w:spacing w:after="0" w:line="200" w:lineRule="exact"/>
        <w:rPr>
          <w:sz w:val="20"/>
          <w:szCs w:val="20"/>
          <w:lang w:eastAsia="zh-CN"/>
        </w:rPr>
      </w:pPr>
    </w:p>
    <w:p>
      <w:pPr>
        <w:spacing w:after="0" w:line="200" w:lineRule="exact"/>
        <w:rPr>
          <w:sz w:val="20"/>
          <w:szCs w:val="20"/>
          <w:lang w:eastAsia="zh-CN"/>
        </w:rPr>
      </w:pPr>
    </w:p>
    <w:p>
      <w:pPr>
        <w:spacing w:after="0" w:line="200" w:lineRule="exact"/>
        <w:rPr>
          <w:sz w:val="20"/>
          <w:szCs w:val="20"/>
          <w:lang w:eastAsia="zh-CN"/>
        </w:rPr>
      </w:pPr>
    </w:p>
    <w:p>
      <w:pPr>
        <w:spacing w:before="18" w:after="0" w:line="260" w:lineRule="exact"/>
        <w:rPr>
          <w:sz w:val="26"/>
          <w:szCs w:val="26"/>
          <w:lang w:eastAsia="zh-CN"/>
        </w:rPr>
      </w:pPr>
    </w:p>
    <w:p>
      <w:pPr>
        <w:tabs>
          <w:tab w:val="left" w:pos="4400"/>
        </w:tabs>
        <w:spacing w:after="0" w:line="900" w:lineRule="exact"/>
        <w:ind w:left="3140" w:right="3120"/>
        <w:jc w:val="center"/>
        <w:rPr>
          <w:rFonts w:ascii="黑体" w:hAnsi="黑体" w:eastAsia="黑体" w:cs="黑体"/>
          <w:sz w:val="84"/>
          <w:szCs w:val="84"/>
          <w:lang w:eastAsia="zh-CN"/>
        </w:rPr>
      </w:pPr>
      <w:r>
        <w:rPr>
          <w:rFonts w:ascii="黑体" w:hAnsi="黑体" w:eastAsia="黑体" w:cs="黑体"/>
          <w:position w:val="-5"/>
          <w:sz w:val="84"/>
          <w:szCs w:val="84"/>
          <w:lang w:eastAsia="zh-CN"/>
        </w:rPr>
        <w:t>目</w:t>
      </w:r>
      <w:r>
        <w:rPr>
          <w:rFonts w:ascii="黑体" w:hAnsi="黑体" w:eastAsia="黑体" w:cs="黑体"/>
          <w:position w:val="-5"/>
          <w:sz w:val="84"/>
          <w:szCs w:val="84"/>
          <w:lang w:eastAsia="zh-CN"/>
        </w:rPr>
        <w:tab/>
      </w:r>
      <w:r>
        <w:rPr>
          <w:rFonts w:ascii="黑体" w:hAnsi="黑体" w:eastAsia="黑体" w:cs="黑体"/>
          <w:position w:val="-5"/>
          <w:sz w:val="84"/>
          <w:szCs w:val="84"/>
          <w:lang w:eastAsia="zh-CN"/>
        </w:rPr>
        <w:t>录</w:t>
      </w:r>
    </w:p>
    <w:p>
      <w:pPr>
        <w:spacing w:before="8" w:after="0" w:line="100" w:lineRule="exact"/>
        <w:rPr>
          <w:sz w:val="10"/>
          <w:szCs w:val="10"/>
          <w:lang w:eastAsia="zh-CN"/>
        </w:rPr>
      </w:pPr>
    </w:p>
    <w:p>
      <w:pPr>
        <w:spacing w:after="0" w:line="200" w:lineRule="exact"/>
        <w:rPr>
          <w:sz w:val="20"/>
          <w:szCs w:val="20"/>
          <w:lang w:eastAsia="zh-CN"/>
        </w:rPr>
      </w:pPr>
    </w:p>
    <w:p>
      <w:pPr>
        <w:spacing w:after="0" w:line="200" w:lineRule="exact"/>
        <w:rPr>
          <w:sz w:val="20"/>
          <w:szCs w:val="20"/>
          <w:lang w:eastAsia="zh-CN"/>
        </w:rPr>
      </w:pPr>
    </w:p>
    <w:p>
      <w:pPr>
        <w:spacing w:after="0" w:line="200" w:lineRule="exact"/>
        <w:rPr>
          <w:sz w:val="20"/>
          <w:szCs w:val="20"/>
          <w:lang w:eastAsia="zh-CN"/>
        </w:rPr>
      </w:pPr>
    </w:p>
    <w:p>
      <w:pPr>
        <w:tabs>
          <w:tab w:val="left" w:pos="2080"/>
        </w:tabs>
        <w:spacing w:after="0" w:line="271" w:lineRule="auto"/>
        <w:ind w:left="838" w:right="2831" w:hanging="720"/>
        <w:rPr>
          <w:rFonts w:ascii="黑体" w:hAnsi="黑体" w:eastAsia="黑体" w:cs="黑体"/>
          <w:sz w:val="36"/>
          <w:szCs w:val="36"/>
          <w:lang w:eastAsia="zh-CN"/>
        </w:rPr>
      </w:pPr>
      <w:r>
        <w:rPr>
          <w:rFonts w:ascii="黑体" w:hAnsi="黑体" w:eastAsia="黑体" w:cs="黑体"/>
          <w:sz w:val="44"/>
          <w:szCs w:val="44"/>
          <w:lang w:eastAsia="zh-CN"/>
        </w:rPr>
        <w:t>第一部分</w:t>
      </w:r>
      <w:r>
        <w:rPr>
          <w:rFonts w:ascii="黑体" w:hAnsi="黑体" w:eastAsia="黑体" w:cs="黑体"/>
          <w:sz w:val="44"/>
          <w:szCs w:val="44"/>
          <w:lang w:eastAsia="zh-CN"/>
        </w:rPr>
        <w:tab/>
      </w:r>
      <w:r>
        <w:rPr>
          <w:rFonts w:hint="eastAsia" w:ascii="黑体" w:hAnsi="黑体" w:eastAsia="黑体" w:cs="黑体"/>
          <w:spacing w:val="2"/>
          <w:sz w:val="44"/>
          <w:szCs w:val="44"/>
          <w:lang w:eastAsia="zh-CN"/>
        </w:rPr>
        <w:t>乃东区商务局</w:t>
      </w:r>
      <w:r>
        <w:rPr>
          <w:rFonts w:ascii="黑体" w:hAnsi="黑体" w:eastAsia="黑体" w:cs="黑体"/>
          <w:sz w:val="44"/>
          <w:szCs w:val="44"/>
          <w:lang w:eastAsia="zh-CN"/>
        </w:rPr>
        <w:t xml:space="preserve">概况 </w:t>
      </w:r>
      <w:r>
        <w:rPr>
          <w:rFonts w:ascii="黑体" w:hAnsi="黑体" w:eastAsia="黑体" w:cs="黑体"/>
          <w:sz w:val="36"/>
          <w:szCs w:val="36"/>
          <w:lang w:eastAsia="zh-CN"/>
        </w:rPr>
        <w:t xml:space="preserve">一、部门预算单位构成 </w:t>
      </w:r>
    </w:p>
    <w:p>
      <w:pPr>
        <w:tabs>
          <w:tab w:val="left" w:pos="2080"/>
        </w:tabs>
        <w:spacing w:after="0" w:line="271" w:lineRule="auto"/>
        <w:ind w:left="105" w:leftChars="50" w:right="2831" w:firstLine="720" w:firstLineChars="200"/>
        <w:rPr>
          <w:rFonts w:ascii="黑体" w:hAnsi="黑体" w:eastAsia="黑体" w:cs="黑体"/>
          <w:sz w:val="36"/>
          <w:szCs w:val="36"/>
          <w:lang w:eastAsia="zh-CN"/>
        </w:rPr>
      </w:pPr>
      <w:r>
        <w:rPr>
          <w:rFonts w:ascii="黑体" w:hAnsi="黑体" w:eastAsia="黑体" w:cs="黑体"/>
          <w:sz w:val="36"/>
          <w:szCs w:val="36"/>
          <w:lang w:eastAsia="zh-CN"/>
        </w:rPr>
        <w:t>二、部门职责和机构设置</w:t>
      </w:r>
    </w:p>
    <w:p>
      <w:pPr>
        <w:tabs>
          <w:tab w:val="left" w:pos="2020"/>
        </w:tabs>
        <w:spacing w:after="0" w:line="615" w:lineRule="exact"/>
        <w:ind w:left="58" w:right="38"/>
        <w:jc w:val="center"/>
        <w:rPr>
          <w:rFonts w:ascii="黑体" w:hAnsi="黑体" w:eastAsia="黑体" w:cs="黑体"/>
          <w:sz w:val="44"/>
          <w:szCs w:val="44"/>
          <w:lang w:eastAsia="zh-CN"/>
        </w:rPr>
      </w:pPr>
      <w:r>
        <w:rPr>
          <w:rFonts w:ascii="黑体" w:hAnsi="黑体" w:eastAsia="黑体" w:cs="黑体"/>
          <w:w w:val="99"/>
          <w:position w:val="-5"/>
          <w:sz w:val="44"/>
          <w:szCs w:val="44"/>
          <w:lang w:eastAsia="zh-CN"/>
        </w:rPr>
        <w:t>第二部分</w:t>
      </w:r>
      <w:r>
        <w:rPr>
          <w:rFonts w:ascii="黑体" w:hAnsi="黑体" w:eastAsia="黑体" w:cs="黑体"/>
          <w:position w:val="-5"/>
          <w:sz w:val="44"/>
          <w:szCs w:val="44"/>
          <w:lang w:eastAsia="zh-CN"/>
        </w:rPr>
        <w:tab/>
      </w:r>
      <w:r>
        <w:rPr>
          <w:rFonts w:hint="eastAsia" w:ascii="黑体" w:hAnsi="黑体" w:eastAsia="黑体" w:cs="黑体"/>
          <w:spacing w:val="2"/>
          <w:w w:val="99"/>
          <w:position w:val="-5"/>
          <w:sz w:val="44"/>
          <w:szCs w:val="44"/>
          <w:lang w:eastAsia="zh-CN"/>
        </w:rPr>
        <w:t>乃东区商务局</w:t>
      </w:r>
      <w:r>
        <w:rPr>
          <w:rFonts w:ascii="黑体" w:hAnsi="黑体" w:eastAsia="黑体" w:cs="黑体"/>
          <w:spacing w:val="-131"/>
          <w:position w:val="-5"/>
          <w:sz w:val="44"/>
          <w:szCs w:val="44"/>
          <w:lang w:eastAsia="zh-CN"/>
        </w:rPr>
        <w:t xml:space="preserve"> </w:t>
      </w:r>
      <w:r>
        <w:rPr>
          <w:rFonts w:ascii="黑体" w:hAnsi="黑体" w:eastAsia="黑体" w:cs="黑体"/>
          <w:spacing w:val="1"/>
          <w:w w:val="99"/>
          <w:position w:val="-5"/>
          <w:sz w:val="44"/>
          <w:szCs w:val="44"/>
          <w:lang w:eastAsia="zh-CN"/>
        </w:rPr>
        <w:t>201</w:t>
      </w:r>
      <w:r>
        <w:rPr>
          <w:rFonts w:hint="eastAsia" w:ascii="黑体" w:hAnsi="黑体" w:eastAsia="黑体" w:cs="黑体"/>
          <w:w w:val="99"/>
          <w:position w:val="-5"/>
          <w:sz w:val="44"/>
          <w:szCs w:val="44"/>
          <w:lang w:eastAsia="zh-CN"/>
        </w:rPr>
        <w:t>6</w:t>
      </w:r>
      <w:r>
        <w:rPr>
          <w:rFonts w:ascii="黑体" w:hAnsi="黑体" w:eastAsia="黑体" w:cs="黑体"/>
          <w:w w:val="99"/>
          <w:position w:val="-5"/>
          <w:sz w:val="44"/>
          <w:szCs w:val="44"/>
          <w:lang w:eastAsia="zh-CN"/>
        </w:rPr>
        <w:t>年部门</w:t>
      </w:r>
      <w:r>
        <w:rPr>
          <w:rFonts w:hint="eastAsia" w:ascii="黑体" w:hAnsi="黑体" w:eastAsia="黑体" w:cs="黑体"/>
          <w:w w:val="99"/>
          <w:position w:val="-5"/>
          <w:sz w:val="44"/>
          <w:szCs w:val="44"/>
          <w:lang w:eastAsia="zh-CN"/>
        </w:rPr>
        <w:t>决</w:t>
      </w:r>
      <w:r>
        <w:rPr>
          <w:rFonts w:ascii="黑体" w:hAnsi="黑体" w:eastAsia="黑体" w:cs="黑体"/>
          <w:w w:val="99"/>
          <w:position w:val="-5"/>
          <w:sz w:val="44"/>
          <w:szCs w:val="44"/>
          <w:lang w:eastAsia="zh-CN"/>
        </w:rPr>
        <w:t>算表</w:t>
      </w:r>
    </w:p>
    <w:p>
      <w:pPr>
        <w:spacing w:before="55" w:after="0" w:line="282" w:lineRule="auto"/>
        <w:ind w:left="838" w:right="1489"/>
        <w:rPr>
          <w:rFonts w:hint="eastAsia" w:ascii="黑体" w:hAnsi="黑体" w:eastAsia="黑体" w:cs="黑体"/>
          <w:sz w:val="36"/>
          <w:szCs w:val="36"/>
          <w:lang w:eastAsia="zh-CN"/>
        </w:rPr>
      </w:pPr>
      <w:r>
        <w:rPr>
          <w:rFonts w:ascii="黑体" w:hAnsi="黑体" w:eastAsia="黑体" w:cs="黑体"/>
          <w:sz w:val="36"/>
          <w:szCs w:val="36"/>
          <w:lang w:eastAsia="zh-CN"/>
        </w:rPr>
        <w:t>一、财政拨款收支总表</w:t>
      </w:r>
    </w:p>
    <w:p>
      <w:pPr>
        <w:spacing w:before="55" w:after="0" w:line="282" w:lineRule="auto"/>
        <w:ind w:right="1489" w:firstLine="720" w:firstLineChars="200"/>
        <w:rPr>
          <w:rFonts w:hint="eastAsia" w:ascii="黑体" w:hAnsi="黑体" w:eastAsia="黑体" w:cs="黑体"/>
          <w:sz w:val="36"/>
          <w:szCs w:val="36"/>
          <w:lang w:eastAsia="zh-CN"/>
        </w:rPr>
      </w:pPr>
      <w:r>
        <w:rPr>
          <w:rFonts w:ascii="黑体" w:hAnsi="黑体" w:eastAsia="黑体" w:cs="黑体"/>
          <w:sz w:val="36"/>
          <w:szCs w:val="36"/>
          <w:lang w:eastAsia="zh-CN"/>
        </w:rPr>
        <w:t xml:space="preserve"> 二、一般公共预算支出表 </w:t>
      </w:r>
    </w:p>
    <w:p>
      <w:pPr>
        <w:spacing w:before="55" w:after="0" w:line="282" w:lineRule="auto"/>
        <w:ind w:right="1489" w:firstLine="900" w:firstLineChars="250"/>
        <w:rPr>
          <w:rFonts w:ascii="黑体" w:hAnsi="黑体" w:eastAsia="黑体" w:cs="黑体"/>
          <w:sz w:val="36"/>
          <w:szCs w:val="36"/>
          <w:lang w:eastAsia="zh-CN"/>
        </w:rPr>
      </w:pPr>
      <w:r>
        <w:rPr>
          <w:rFonts w:ascii="黑体" w:hAnsi="黑体" w:eastAsia="黑体" w:cs="黑体"/>
          <w:sz w:val="36"/>
          <w:szCs w:val="36"/>
          <w:lang w:eastAsia="zh-CN"/>
        </w:rPr>
        <w:t xml:space="preserve">三、一般公共预算基本支出表 </w:t>
      </w:r>
    </w:p>
    <w:p>
      <w:pPr>
        <w:tabs>
          <w:tab w:val="left" w:pos="2080"/>
        </w:tabs>
        <w:spacing w:before="38" w:after="0" w:line="624" w:lineRule="exact"/>
        <w:ind w:left="2007" w:hanging="1889"/>
        <w:rPr>
          <w:rFonts w:ascii="黑体" w:hAnsi="黑体" w:eastAsia="黑体" w:cs="黑体"/>
          <w:sz w:val="44"/>
          <w:szCs w:val="44"/>
          <w:lang w:eastAsia="zh-CN"/>
        </w:rPr>
      </w:pPr>
      <w:r>
        <w:rPr>
          <w:rFonts w:ascii="黑体" w:hAnsi="黑体" w:eastAsia="黑体" w:cs="黑体"/>
          <w:sz w:val="44"/>
          <w:szCs w:val="44"/>
          <w:lang w:eastAsia="zh-CN"/>
        </w:rPr>
        <w:t>第三部分</w:t>
      </w:r>
      <w:r>
        <w:rPr>
          <w:rFonts w:ascii="黑体" w:hAnsi="黑体" w:eastAsia="黑体" w:cs="黑体"/>
          <w:sz w:val="44"/>
          <w:szCs w:val="44"/>
          <w:lang w:eastAsia="zh-CN"/>
        </w:rPr>
        <w:tab/>
      </w:r>
      <w:r>
        <w:rPr>
          <w:rFonts w:ascii="黑体" w:hAnsi="黑体" w:eastAsia="黑体" w:cs="黑体"/>
          <w:sz w:val="44"/>
          <w:szCs w:val="44"/>
          <w:lang w:eastAsia="zh-CN"/>
        </w:rPr>
        <w:tab/>
      </w:r>
      <w:r>
        <w:rPr>
          <w:rFonts w:hint="eastAsia" w:ascii="黑体" w:hAnsi="黑体" w:eastAsia="黑体" w:cs="黑体"/>
          <w:spacing w:val="2"/>
          <w:w w:val="99"/>
          <w:sz w:val="44"/>
          <w:szCs w:val="44"/>
          <w:lang w:eastAsia="zh-CN"/>
        </w:rPr>
        <w:t>乃东区商务局</w:t>
      </w:r>
      <w:r>
        <w:rPr>
          <w:rFonts w:ascii="黑体" w:hAnsi="黑体" w:eastAsia="黑体" w:cs="黑体"/>
          <w:spacing w:val="-131"/>
          <w:sz w:val="44"/>
          <w:szCs w:val="44"/>
          <w:lang w:eastAsia="zh-CN"/>
        </w:rPr>
        <w:t xml:space="preserve"> </w:t>
      </w:r>
      <w:r>
        <w:rPr>
          <w:rFonts w:ascii="黑体" w:hAnsi="黑体" w:eastAsia="黑体" w:cs="黑体"/>
          <w:spacing w:val="1"/>
          <w:w w:val="99"/>
          <w:sz w:val="44"/>
          <w:szCs w:val="44"/>
          <w:lang w:eastAsia="zh-CN"/>
        </w:rPr>
        <w:t>201</w:t>
      </w:r>
      <w:r>
        <w:rPr>
          <w:rFonts w:hint="eastAsia" w:ascii="黑体" w:hAnsi="黑体" w:eastAsia="黑体" w:cs="黑体"/>
          <w:spacing w:val="-133"/>
          <w:sz w:val="44"/>
          <w:szCs w:val="44"/>
          <w:lang w:eastAsia="zh-CN"/>
        </w:rPr>
        <w:t>6</w:t>
      </w:r>
      <w:r>
        <w:rPr>
          <w:rFonts w:ascii="黑体" w:hAnsi="黑体" w:eastAsia="黑体" w:cs="黑体"/>
          <w:sz w:val="44"/>
          <w:szCs w:val="44"/>
          <w:lang w:eastAsia="zh-CN"/>
        </w:rPr>
        <w:t>年部门</w:t>
      </w:r>
      <w:r>
        <w:rPr>
          <w:rFonts w:hint="eastAsia" w:ascii="黑体" w:hAnsi="黑体" w:eastAsia="黑体" w:cs="黑体"/>
          <w:sz w:val="44"/>
          <w:szCs w:val="44"/>
          <w:lang w:eastAsia="zh-CN"/>
        </w:rPr>
        <w:t>决</w:t>
      </w:r>
      <w:r>
        <w:rPr>
          <w:rFonts w:ascii="黑体" w:hAnsi="黑体" w:eastAsia="黑体" w:cs="黑体"/>
          <w:sz w:val="44"/>
          <w:szCs w:val="44"/>
          <w:lang w:eastAsia="zh-CN"/>
        </w:rPr>
        <w:t>算数 据分析</w:t>
      </w:r>
    </w:p>
    <w:p>
      <w:pPr>
        <w:tabs>
          <w:tab w:val="left" w:pos="2080"/>
        </w:tabs>
        <w:spacing w:after="0" w:line="561" w:lineRule="exact"/>
        <w:ind w:left="118" w:right="-20"/>
        <w:rPr>
          <w:rFonts w:ascii="黑体" w:hAnsi="黑体" w:eastAsia="黑体" w:cs="黑体"/>
          <w:sz w:val="44"/>
          <w:szCs w:val="44"/>
          <w:lang w:eastAsia="zh-CN"/>
        </w:rPr>
      </w:pPr>
      <w:r>
        <w:rPr>
          <w:rFonts w:ascii="黑体" w:hAnsi="黑体" w:eastAsia="黑体" w:cs="黑体"/>
          <w:position w:val="-4"/>
          <w:sz w:val="44"/>
          <w:szCs w:val="44"/>
          <w:lang w:eastAsia="zh-CN"/>
        </w:rPr>
        <w:t>第四部分</w:t>
      </w:r>
      <w:r>
        <w:rPr>
          <w:rFonts w:ascii="黑体" w:hAnsi="黑体" w:eastAsia="黑体" w:cs="黑体"/>
          <w:position w:val="-4"/>
          <w:sz w:val="44"/>
          <w:szCs w:val="44"/>
          <w:lang w:eastAsia="zh-CN"/>
        </w:rPr>
        <w:tab/>
      </w:r>
      <w:r>
        <w:rPr>
          <w:rFonts w:ascii="黑体" w:hAnsi="黑体" w:eastAsia="黑体" w:cs="黑体"/>
          <w:spacing w:val="2"/>
          <w:position w:val="-4"/>
          <w:sz w:val="44"/>
          <w:szCs w:val="44"/>
          <w:lang w:eastAsia="zh-CN"/>
        </w:rPr>
        <w:t>名</w:t>
      </w:r>
      <w:r>
        <w:rPr>
          <w:rFonts w:ascii="黑体" w:hAnsi="黑体" w:eastAsia="黑体" w:cs="黑体"/>
          <w:position w:val="-4"/>
          <w:sz w:val="44"/>
          <w:szCs w:val="44"/>
          <w:lang w:eastAsia="zh-CN"/>
        </w:rPr>
        <w:t>词解释</w:t>
      </w:r>
    </w:p>
    <w:p>
      <w:pPr>
        <w:spacing w:after="0" w:line="561" w:lineRule="exact"/>
        <w:rPr>
          <w:rFonts w:ascii="黑体" w:hAnsi="黑体" w:eastAsia="黑体" w:cs="黑体"/>
          <w:sz w:val="44"/>
          <w:szCs w:val="44"/>
          <w:lang w:eastAsia="zh-CN"/>
        </w:rPr>
        <w:sectPr>
          <w:footerReference r:id="rId3" w:type="default"/>
          <w:pgSz w:w="11920" w:h="16840"/>
          <w:pgMar w:top="1560" w:right="1680" w:bottom="1160" w:left="1680" w:header="0" w:footer="979" w:gutter="0"/>
          <w:pgNumType w:start="2"/>
          <w:cols w:space="720" w:num="1"/>
        </w:sectPr>
      </w:pPr>
    </w:p>
    <w:p>
      <w:pPr>
        <w:spacing w:after="0" w:line="150" w:lineRule="exact"/>
        <w:rPr>
          <w:sz w:val="15"/>
          <w:szCs w:val="15"/>
          <w:lang w:eastAsia="zh-CN"/>
        </w:rPr>
      </w:pPr>
    </w:p>
    <w:p>
      <w:pPr>
        <w:spacing w:after="0" w:line="200" w:lineRule="exact"/>
        <w:rPr>
          <w:sz w:val="20"/>
          <w:szCs w:val="20"/>
          <w:lang w:eastAsia="zh-CN"/>
        </w:rPr>
      </w:pPr>
    </w:p>
    <w:p>
      <w:pPr>
        <w:spacing w:after="0" w:line="200" w:lineRule="exact"/>
        <w:rPr>
          <w:sz w:val="20"/>
          <w:szCs w:val="20"/>
          <w:lang w:eastAsia="zh-CN"/>
        </w:rPr>
      </w:pPr>
    </w:p>
    <w:p>
      <w:pPr>
        <w:spacing w:after="0" w:line="200" w:lineRule="exact"/>
        <w:rPr>
          <w:sz w:val="20"/>
          <w:szCs w:val="20"/>
          <w:lang w:eastAsia="zh-CN"/>
        </w:rPr>
      </w:pPr>
    </w:p>
    <w:p>
      <w:pPr>
        <w:spacing w:after="0" w:line="200" w:lineRule="exact"/>
        <w:rPr>
          <w:sz w:val="20"/>
          <w:szCs w:val="20"/>
          <w:lang w:eastAsia="zh-CN"/>
        </w:rPr>
      </w:pPr>
    </w:p>
    <w:p>
      <w:pPr>
        <w:spacing w:after="0" w:line="200" w:lineRule="exact"/>
        <w:rPr>
          <w:sz w:val="20"/>
          <w:szCs w:val="20"/>
          <w:lang w:eastAsia="zh-CN"/>
        </w:rPr>
      </w:pPr>
    </w:p>
    <w:p>
      <w:pPr>
        <w:spacing w:after="0" w:line="200" w:lineRule="exact"/>
        <w:rPr>
          <w:sz w:val="20"/>
          <w:szCs w:val="20"/>
          <w:lang w:eastAsia="zh-CN"/>
        </w:rPr>
      </w:pPr>
    </w:p>
    <w:p>
      <w:pPr>
        <w:spacing w:after="0" w:line="200" w:lineRule="exact"/>
        <w:rPr>
          <w:sz w:val="20"/>
          <w:szCs w:val="20"/>
          <w:lang w:eastAsia="zh-CN"/>
        </w:rPr>
      </w:pPr>
    </w:p>
    <w:p>
      <w:pPr>
        <w:spacing w:after="0" w:line="200" w:lineRule="exact"/>
        <w:rPr>
          <w:sz w:val="20"/>
          <w:szCs w:val="20"/>
          <w:lang w:eastAsia="zh-CN"/>
        </w:rPr>
      </w:pPr>
    </w:p>
    <w:p>
      <w:pPr>
        <w:spacing w:after="0" w:line="200" w:lineRule="exact"/>
        <w:rPr>
          <w:sz w:val="20"/>
          <w:szCs w:val="20"/>
          <w:lang w:eastAsia="zh-CN"/>
        </w:rPr>
      </w:pPr>
    </w:p>
    <w:p>
      <w:pPr>
        <w:spacing w:after="0" w:line="200" w:lineRule="exact"/>
        <w:rPr>
          <w:sz w:val="20"/>
          <w:szCs w:val="20"/>
          <w:lang w:eastAsia="zh-CN"/>
        </w:rPr>
      </w:pPr>
    </w:p>
    <w:p>
      <w:pPr>
        <w:spacing w:after="0" w:line="200" w:lineRule="exact"/>
        <w:rPr>
          <w:sz w:val="20"/>
          <w:szCs w:val="20"/>
          <w:lang w:eastAsia="zh-CN"/>
        </w:rPr>
      </w:pPr>
    </w:p>
    <w:p>
      <w:pPr>
        <w:spacing w:after="0" w:line="200" w:lineRule="exact"/>
        <w:rPr>
          <w:sz w:val="20"/>
          <w:szCs w:val="20"/>
          <w:lang w:eastAsia="zh-CN"/>
        </w:rPr>
      </w:pPr>
    </w:p>
    <w:p>
      <w:pPr>
        <w:spacing w:after="0" w:line="200" w:lineRule="exact"/>
        <w:rPr>
          <w:sz w:val="20"/>
          <w:szCs w:val="20"/>
          <w:lang w:eastAsia="zh-CN"/>
        </w:rPr>
      </w:pPr>
    </w:p>
    <w:p>
      <w:pPr>
        <w:spacing w:after="0" w:line="200" w:lineRule="exact"/>
        <w:rPr>
          <w:sz w:val="20"/>
          <w:szCs w:val="20"/>
          <w:lang w:eastAsia="zh-CN"/>
        </w:rPr>
      </w:pPr>
    </w:p>
    <w:p>
      <w:pPr>
        <w:spacing w:after="0" w:line="200" w:lineRule="exact"/>
        <w:rPr>
          <w:sz w:val="20"/>
          <w:szCs w:val="20"/>
          <w:lang w:eastAsia="zh-CN"/>
        </w:rPr>
      </w:pPr>
    </w:p>
    <w:p>
      <w:pPr>
        <w:spacing w:after="0" w:line="200" w:lineRule="exact"/>
        <w:rPr>
          <w:sz w:val="20"/>
          <w:szCs w:val="20"/>
          <w:lang w:eastAsia="zh-CN"/>
        </w:rPr>
      </w:pPr>
    </w:p>
    <w:p>
      <w:pPr>
        <w:spacing w:after="0" w:line="200" w:lineRule="exact"/>
        <w:rPr>
          <w:sz w:val="20"/>
          <w:szCs w:val="20"/>
          <w:lang w:eastAsia="zh-CN"/>
        </w:rPr>
      </w:pPr>
    </w:p>
    <w:p>
      <w:pPr>
        <w:spacing w:after="0" w:line="200" w:lineRule="exact"/>
        <w:rPr>
          <w:sz w:val="20"/>
          <w:szCs w:val="20"/>
          <w:lang w:eastAsia="zh-CN"/>
        </w:rPr>
      </w:pPr>
    </w:p>
    <w:p>
      <w:pPr>
        <w:spacing w:after="0" w:line="900" w:lineRule="exact"/>
        <w:ind w:left="2509" w:right="2491"/>
        <w:jc w:val="center"/>
        <w:rPr>
          <w:rFonts w:ascii="黑体" w:hAnsi="黑体" w:eastAsia="黑体" w:cs="黑体"/>
          <w:sz w:val="84"/>
          <w:szCs w:val="84"/>
          <w:lang w:eastAsia="zh-CN"/>
        </w:rPr>
      </w:pPr>
      <w:r>
        <w:rPr>
          <w:rFonts w:ascii="黑体" w:hAnsi="黑体" w:eastAsia="黑体" w:cs="黑体"/>
          <w:position w:val="-5"/>
          <w:sz w:val="84"/>
          <w:szCs w:val="84"/>
          <w:lang w:eastAsia="zh-CN"/>
        </w:rPr>
        <w:t>第一部分</w:t>
      </w:r>
    </w:p>
    <w:p>
      <w:pPr>
        <w:spacing w:before="9" w:after="0" w:line="240" w:lineRule="auto"/>
        <w:ind w:left="829" w:right="811"/>
        <w:jc w:val="center"/>
        <w:rPr>
          <w:rFonts w:ascii="黑体" w:hAnsi="黑体" w:eastAsia="黑体" w:cs="黑体"/>
          <w:sz w:val="84"/>
          <w:szCs w:val="84"/>
          <w:lang w:eastAsia="zh-CN"/>
        </w:rPr>
      </w:pPr>
      <w:r>
        <w:rPr>
          <w:rFonts w:hint="eastAsia" w:ascii="黑体" w:hAnsi="黑体" w:eastAsia="黑体" w:cs="黑体"/>
          <w:sz w:val="84"/>
          <w:szCs w:val="84"/>
          <w:lang w:eastAsia="zh-CN"/>
        </w:rPr>
        <w:t>乃东区商务局</w:t>
      </w:r>
      <w:r>
        <w:rPr>
          <w:rFonts w:ascii="黑体" w:hAnsi="黑体" w:eastAsia="黑体" w:cs="黑体"/>
          <w:sz w:val="84"/>
          <w:szCs w:val="84"/>
          <w:lang w:eastAsia="zh-CN"/>
        </w:rPr>
        <w:t>概况</w:t>
      </w:r>
    </w:p>
    <w:p>
      <w:pPr>
        <w:spacing w:after="0" w:line="240" w:lineRule="auto"/>
        <w:jc w:val="center"/>
        <w:rPr>
          <w:rFonts w:ascii="黑体" w:hAnsi="黑体" w:eastAsia="黑体" w:cs="黑体"/>
          <w:sz w:val="84"/>
          <w:szCs w:val="84"/>
          <w:lang w:eastAsia="zh-CN"/>
        </w:rPr>
        <w:sectPr>
          <w:pgSz w:w="11920" w:h="16840"/>
          <w:pgMar w:top="1560" w:right="1680" w:bottom="1160" w:left="1680" w:header="0" w:footer="979" w:gutter="0"/>
          <w:cols w:space="720" w:num="1"/>
        </w:sectPr>
      </w:pPr>
    </w:p>
    <w:p>
      <w:pPr>
        <w:spacing w:after="0" w:line="454" w:lineRule="exact"/>
        <w:ind w:left="838" w:right="-20"/>
        <w:rPr>
          <w:rFonts w:ascii="黑体" w:hAnsi="黑体" w:eastAsia="黑体" w:cs="黑体"/>
          <w:sz w:val="36"/>
          <w:szCs w:val="36"/>
          <w:lang w:eastAsia="zh-CN"/>
        </w:rPr>
      </w:pPr>
      <w:r>
        <w:rPr>
          <w:rFonts w:ascii="黑体" w:hAnsi="黑体" w:eastAsia="黑体" w:cs="黑体"/>
          <w:position w:val="-3"/>
          <w:sz w:val="36"/>
          <w:szCs w:val="36"/>
          <w:lang w:eastAsia="zh-CN"/>
        </w:rPr>
        <w:t>一、部门预算单位构成</w:t>
      </w:r>
    </w:p>
    <w:p>
      <w:pPr>
        <w:spacing w:before="4" w:after="0" w:line="120" w:lineRule="exact"/>
        <w:rPr>
          <w:sz w:val="12"/>
          <w:szCs w:val="12"/>
          <w:lang w:eastAsia="zh-CN"/>
        </w:rPr>
      </w:pPr>
    </w:p>
    <w:p>
      <w:pPr>
        <w:spacing w:after="0" w:line="301" w:lineRule="auto"/>
        <w:ind w:left="118" w:right="181" w:firstLine="640"/>
        <w:jc w:val="both"/>
        <w:rPr>
          <w:rFonts w:ascii="PMingLiU" w:hAnsi="PMingLiU" w:eastAsia="PMingLiU" w:cs="PMingLiU"/>
          <w:sz w:val="32"/>
          <w:szCs w:val="32"/>
          <w:lang w:eastAsia="zh-CN"/>
        </w:rPr>
      </w:pPr>
      <w:r>
        <w:rPr>
          <w:rFonts w:ascii="PMingLiU" w:hAnsi="PMingLiU" w:eastAsia="PMingLiU" w:cs="PMingLiU"/>
          <w:spacing w:val="2"/>
          <w:sz w:val="32"/>
          <w:szCs w:val="32"/>
          <w:lang w:eastAsia="zh-CN"/>
        </w:rPr>
        <w:t>纳</w:t>
      </w:r>
      <w:r>
        <w:rPr>
          <w:rFonts w:ascii="PMingLiU" w:hAnsi="PMingLiU" w:eastAsia="PMingLiU" w:cs="PMingLiU"/>
          <w:sz w:val="32"/>
          <w:szCs w:val="32"/>
          <w:lang w:eastAsia="zh-CN"/>
        </w:rPr>
        <w:t>入</w:t>
      </w:r>
      <w:r>
        <w:rPr>
          <w:rFonts w:hint="eastAsia" w:ascii="PMingLiU" w:hAnsi="PMingLiU" w:cs="PMingLiU"/>
          <w:sz w:val="32"/>
          <w:szCs w:val="32"/>
          <w:lang w:eastAsia="zh-CN"/>
        </w:rPr>
        <w:t>乃东区</w:t>
      </w:r>
      <w:r>
        <w:rPr>
          <w:rFonts w:ascii="PMingLiU" w:hAnsi="PMingLiU" w:eastAsia="PMingLiU" w:cs="PMingLiU"/>
          <w:sz w:val="32"/>
          <w:szCs w:val="32"/>
          <w:lang w:eastAsia="zh-CN"/>
        </w:rPr>
        <w:t xml:space="preserve"> </w:t>
      </w:r>
      <w:r>
        <w:rPr>
          <w:rFonts w:ascii="PMingLiU" w:hAnsi="PMingLiU" w:eastAsia="PMingLiU" w:cs="PMingLiU"/>
          <w:spacing w:val="1"/>
          <w:sz w:val="32"/>
          <w:szCs w:val="32"/>
          <w:lang w:eastAsia="zh-CN"/>
        </w:rPr>
        <w:t>2</w:t>
      </w:r>
      <w:r>
        <w:rPr>
          <w:rFonts w:ascii="PMingLiU" w:hAnsi="PMingLiU" w:eastAsia="PMingLiU" w:cs="PMingLiU"/>
          <w:spacing w:val="-1"/>
          <w:sz w:val="32"/>
          <w:szCs w:val="32"/>
          <w:lang w:eastAsia="zh-CN"/>
        </w:rPr>
        <w:t>0</w:t>
      </w:r>
      <w:r>
        <w:rPr>
          <w:rFonts w:ascii="PMingLiU" w:hAnsi="PMingLiU" w:eastAsia="PMingLiU" w:cs="PMingLiU"/>
          <w:spacing w:val="1"/>
          <w:sz w:val="32"/>
          <w:szCs w:val="32"/>
          <w:lang w:eastAsia="zh-CN"/>
        </w:rPr>
        <w:t>1</w:t>
      </w:r>
      <w:r>
        <w:rPr>
          <w:rFonts w:hint="eastAsia" w:ascii="PMingLiU" w:hAnsi="PMingLiU" w:cs="PMingLiU"/>
          <w:sz w:val="32"/>
          <w:szCs w:val="32"/>
          <w:lang w:eastAsia="zh-CN"/>
        </w:rPr>
        <w:t>6</w:t>
      </w:r>
      <w:r>
        <w:rPr>
          <w:rFonts w:ascii="PMingLiU" w:hAnsi="PMingLiU" w:eastAsia="PMingLiU" w:cs="PMingLiU"/>
          <w:spacing w:val="58"/>
          <w:sz w:val="32"/>
          <w:szCs w:val="32"/>
          <w:lang w:eastAsia="zh-CN"/>
        </w:rPr>
        <w:t xml:space="preserve"> </w:t>
      </w:r>
      <w:r>
        <w:rPr>
          <w:rFonts w:ascii="PMingLiU" w:hAnsi="PMingLiU" w:eastAsia="PMingLiU" w:cs="PMingLiU"/>
          <w:spacing w:val="3"/>
          <w:sz w:val="32"/>
          <w:szCs w:val="32"/>
          <w:lang w:eastAsia="zh-CN"/>
        </w:rPr>
        <w:t>年</w:t>
      </w:r>
      <w:r>
        <w:rPr>
          <w:rFonts w:ascii="PMingLiU" w:hAnsi="PMingLiU" w:eastAsia="PMingLiU" w:cs="PMingLiU"/>
          <w:sz w:val="32"/>
          <w:szCs w:val="32"/>
          <w:lang w:eastAsia="zh-CN"/>
        </w:rPr>
        <w:t>部门</w:t>
      </w:r>
      <w:r>
        <w:rPr>
          <w:rFonts w:ascii="PMingLiU" w:hAnsi="PMingLiU" w:eastAsia="PMingLiU" w:cs="PMingLiU"/>
          <w:spacing w:val="2"/>
          <w:sz w:val="32"/>
          <w:szCs w:val="32"/>
          <w:lang w:eastAsia="zh-CN"/>
        </w:rPr>
        <w:t>预</w:t>
      </w:r>
      <w:r>
        <w:rPr>
          <w:rFonts w:ascii="PMingLiU" w:hAnsi="PMingLiU" w:eastAsia="PMingLiU" w:cs="PMingLiU"/>
          <w:sz w:val="32"/>
          <w:szCs w:val="32"/>
          <w:lang w:eastAsia="zh-CN"/>
        </w:rPr>
        <w:t>算编</w:t>
      </w:r>
      <w:r>
        <w:rPr>
          <w:rFonts w:ascii="PMingLiU" w:hAnsi="PMingLiU" w:eastAsia="PMingLiU" w:cs="PMingLiU"/>
          <w:spacing w:val="2"/>
          <w:sz w:val="32"/>
          <w:szCs w:val="32"/>
          <w:lang w:eastAsia="zh-CN"/>
        </w:rPr>
        <w:t>制</w:t>
      </w:r>
      <w:r>
        <w:rPr>
          <w:rFonts w:ascii="PMingLiU" w:hAnsi="PMingLiU" w:eastAsia="PMingLiU" w:cs="PMingLiU"/>
          <w:sz w:val="32"/>
          <w:szCs w:val="32"/>
          <w:lang w:eastAsia="zh-CN"/>
        </w:rPr>
        <w:t>范围的</w:t>
      </w:r>
      <w:r>
        <w:rPr>
          <w:rFonts w:ascii="PMingLiU" w:hAnsi="PMingLiU" w:eastAsia="PMingLiU" w:cs="PMingLiU"/>
          <w:spacing w:val="3"/>
          <w:sz w:val="32"/>
          <w:szCs w:val="32"/>
          <w:lang w:eastAsia="zh-CN"/>
        </w:rPr>
        <w:t>单</w:t>
      </w:r>
      <w:r>
        <w:rPr>
          <w:rFonts w:ascii="PMingLiU" w:hAnsi="PMingLiU" w:eastAsia="PMingLiU" w:cs="PMingLiU"/>
          <w:sz w:val="32"/>
          <w:szCs w:val="32"/>
          <w:lang w:eastAsia="zh-CN"/>
        </w:rPr>
        <w:t>位包</w:t>
      </w:r>
      <w:r>
        <w:rPr>
          <w:rFonts w:ascii="PMingLiU" w:hAnsi="PMingLiU" w:eastAsia="PMingLiU" w:cs="PMingLiU"/>
          <w:spacing w:val="3"/>
          <w:sz w:val="32"/>
          <w:szCs w:val="32"/>
          <w:lang w:eastAsia="zh-CN"/>
        </w:rPr>
        <w:t>括</w:t>
      </w:r>
      <w:r>
        <w:rPr>
          <w:rFonts w:hint="eastAsia" w:ascii="PMingLiU" w:hAnsi="PMingLiU" w:cs="PMingLiU"/>
          <w:sz w:val="32"/>
          <w:szCs w:val="32"/>
          <w:lang w:eastAsia="zh-CN"/>
        </w:rPr>
        <w:t>乃东区商务局</w:t>
      </w:r>
      <w:r>
        <w:rPr>
          <w:rFonts w:ascii="PMingLiU" w:hAnsi="PMingLiU" w:eastAsia="PMingLiU" w:cs="PMingLiU"/>
          <w:sz w:val="32"/>
          <w:szCs w:val="32"/>
          <w:lang w:eastAsia="zh-CN"/>
        </w:rPr>
        <w:t>。</w:t>
      </w:r>
    </w:p>
    <w:p>
      <w:pPr>
        <w:spacing w:before="14" w:after="0" w:line="240" w:lineRule="auto"/>
        <w:ind w:left="838" w:right="-20"/>
        <w:rPr>
          <w:rFonts w:ascii="黑体" w:hAnsi="黑体" w:eastAsia="黑体" w:cs="黑体"/>
          <w:sz w:val="36"/>
          <w:szCs w:val="36"/>
          <w:lang w:eastAsia="zh-CN"/>
        </w:rPr>
      </w:pPr>
      <w:r>
        <w:rPr>
          <w:rFonts w:ascii="黑体" w:hAnsi="黑体" w:eastAsia="黑体" w:cs="黑体"/>
          <w:sz w:val="36"/>
          <w:szCs w:val="36"/>
          <w:lang w:eastAsia="zh-CN"/>
        </w:rPr>
        <w:t>二、部门职责和机构设置</w:t>
      </w:r>
    </w:p>
    <w:p>
      <w:pPr>
        <w:spacing w:before="4" w:after="0" w:line="120" w:lineRule="exact"/>
        <w:rPr>
          <w:sz w:val="12"/>
          <w:szCs w:val="12"/>
          <w:lang w:eastAsia="zh-CN"/>
        </w:rPr>
      </w:pPr>
    </w:p>
    <w:p>
      <w:pPr>
        <w:spacing w:after="0" w:line="301" w:lineRule="auto"/>
        <w:ind w:firstLine="324" w:firstLineChars="100"/>
        <w:rPr>
          <w:rFonts w:ascii="PMingLiU" w:hAnsi="PMingLiU" w:cs="PMingLiU"/>
          <w:spacing w:val="2"/>
          <w:sz w:val="32"/>
          <w:szCs w:val="32"/>
          <w:lang w:eastAsia="zh-CN"/>
        </w:rPr>
      </w:pPr>
      <w:r>
        <w:rPr>
          <w:rFonts w:hint="eastAsia" w:ascii="PMingLiU" w:hAnsi="PMingLiU" w:cs="PMingLiU"/>
          <w:spacing w:val="2"/>
          <w:sz w:val="32"/>
          <w:szCs w:val="32"/>
          <w:lang w:eastAsia="zh-CN"/>
        </w:rPr>
        <w:t>（一）贯彻执行国家、自治区和市政府有关国内外贸易、外商投资、对外援助、对外投资和对外经济合作的方针政策和法律法规；执行国家、自治区有关国内外贸易和国际经济合作的发展战略、政策；拟定全区国内外贸易、国际经济合作发展规划并组织实施；研究次区域经济合作、现代流通方式的发展趋势和流通体制改革并提出建议。</w:t>
      </w:r>
    </w:p>
    <w:p>
      <w:pPr>
        <w:spacing w:after="0" w:line="301" w:lineRule="auto"/>
        <w:rPr>
          <w:rFonts w:ascii="PMingLiU" w:hAnsi="PMingLiU" w:cs="PMingLiU"/>
          <w:sz w:val="32"/>
          <w:szCs w:val="32"/>
          <w:lang w:eastAsia="zh-CN"/>
        </w:rPr>
      </w:pPr>
      <w:r>
        <w:rPr>
          <w:rFonts w:hint="eastAsia" w:ascii="PMingLiU" w:hAnsi="PMingLiU" w:cs="PMingLiU"/>
          <w:sz w:val="32"/>
          <w:szCs w:val="32"/>
          <w:lang w:eastAsia="zh-CN"/>
        </w:rPr>
        <w:t>（二）负责推进全区流通产业结构调整，指导流通企业改革、商贸服务业和社区商业发展，提出促进商贸中小企业发展的政策建议，推动流通标准化和连锁经营、商业特许经营、物流配送、电子商务等现代流通方式的发展。</w:t>
      </w:r>
    </w:p>
    <w:p>
      <w:pPr>
        <w:spacing w:after="0" w:line="301" w:lineRule="auto"/>
        <w:rPr>
          <w:rFonts w:ascii="PMingLiU" w:hAnsi="PMingLiU" w:cs="PMingLiU"/>
          <w:sz w:val="32"/>
          <w:szCs w:val="32"/>
          <w:lang w:eastAsia="zh-CN"/>
        </w:rPr>
      </w:pPr>
      <w:r>
        <w:rPr>
          <w:rFonts w:hint="eastAsia" w:ascii="PMingLiU" w:hAnsi="PMingLiU" w:cs="PMingLiU"/>
          <w:sz w:val="32"/>
          <w:szCs w:val="32"/>
          <w:lang w:eastAsia="zh-CN"/>
        </w:rPr>
        <w:t>（三）承担促进城乡市场发展的责任，负责全区大宗产品批发市场规划和城镇商业网点规划、商业体系建设工作，推进农牧区市场体系建设，组织实施农牧区现代流通网络工程。</w:t>
      </w:r>
    </w:p>
    <w:p>
      <w:pPr>
        <w:spacing w:after="0" w:line="301" w:lineRule="auto"/>
        <w:rPr>
          <w:rFonts w:ascii="PMingLiU" w:hAnsi="PMingLiU" w:cs="PMingLiU"/>
          <w:sz w:val="32"/>
          <w:szCs w:val="32"/>
          <w:lang w:eastAsia="zh-CN"/>
        </w:rPr>
      </w:pPr>
      <w:r>
        <w:rPr>
          <w:rFonts w:hint="eastAsia" w:ascii="PMingLiU" w:hAnsi="PMingLiU" w:cs="PMingLiU"/>
          <w:sz w:val="32"/>
          <w:szCs w:val="32"/>
          <w:lang w:eastAsia="zh-CN"/>
        </w:rPr>
        <w:t>（四）负责整顿和规范市场经济秩序工作的责任。执行规范市场运行、流通秩序的政策；推动商务领域信用建设，指导商业信用销售，建立市场诚信公共服务平台；按有关规定对特殊流通行业进行监督管理。</w:t>
      </w:r>
    </w:p>
    <w:p>
      <w:pPr>
        <w:spacing w:after="0" w:line="301" w:lineRule="auto"/>
        <w:rPr>
          <w:rFonts w:ascii="PMingLiU" w:hAnsi="PMingLiU" w:cs="PMingLiU"/>
          <w:sz w:val="32"/>
          <w:szCs w:val="32"/>
          <w:lang w:eastAsia="zh-CN"/>
        </w:rPr>
      </w:pPr>
      <w:r>
        <w:rPr>
          <w:rFonts w:hint="eastAsia" w:ascii="PMingLiU" w:hAnsi="PMingLiU" w:cs="PMingLiU"/>
          <w:sz w:val="32"/>
          <w:szCs w:val="32"/>
          <w:lang w:eastAsia="zh-CN"/>
        </w:rPr>
        <w:t>（五）承担重要消费品市场调控和重要生产资料流通管理的责任。</w:t>
      </w:r>
    </w:p>
    <w:p>
      <w:pPr>
        <w:spacing w:after="0" w:line="301" w:lineRule="auto"/>
        <w:rPr>
          <w:rFonts w:ascii="PMingLiU" w:hAnsi="PMingLiU" w:cs="PMingLiU"/>
          <w:sz w:val="32"/>
          <w:szCs w:val="32"/>
          <w:lang w:eastAsia="zh-CN"/>
        </w:rPr>
      </w:pPr>
      <w:r>
        <w:rPr>
          <w:rFonts w:hint="eastAsia" w:ascii="PMingLiU" w:hAnsi="PMingLiU" w:cs="PMingLiU"/>
          <w:sz w:val="32"/>
          <w:szCs w:val="32"/>
          <w:lang w:eastAsia="zh-CN"/>
        </w:rPr>
        <w:t>（六）负责产业安全应对工作及国外对全区出口商品的反倾销、反补贴、保障措施的应诉及其他与进出口公平贸易相关的工作，建立进出口公平贸易预警机制，承办区政府交办的外商投资企业的设立文件审核工作，上报其变更事项、重大外商投资项目合同章程及法律特别规定的重大变更。</w:t>
      </w:r>
    </w:p>
    <w:p>
      <w:pPr>
        <w:spacing w:after="0" w:line="301" w:lineRule="auto"/>
        <w:rPr>
          <w:rFonts w:ascii="PMingLiU" w:hAnsi="PMingLiU" w:cs="PMingLiU"/>
          <w:sz w:val="32"/>
          <w:szCs w:val="32"/>
          <w:lang w:eastAsia="zh-CN"/>
        </w:rPr>
      </w:pPr>
      <w:r>
        <w:rPr>
          <w:rFonts w:hint="eastAsia" w:ascii="PMingLiU" w:hAnsi="PMingLiU" w:cs="PMingLiU"/>
          <w:sz w:val="32"/>
          <w:szCs w:val="32"/>
          <w:lang w:eastAsia="zh-CN"/>
        </w:rPr>
        <w:t>（七）负责全区外商投资工作，依法审核上报重大外商投资项目合同章程及法律规定的重大变更事项；依法监督检查外商投资企业执行有关法律法规、政策规章、合同章程的情况并协调解决有关问题，负责投资促进，规范对外招商引资工作；负责区商贸领域的各类展会工作。</w:t>
      </w:r>
    </w:p>
    <w:p>
      <w:pPr>
        <w:spacing w:after="0" w:line="301" w:lineRule="auto"/>
        <w:rPr>
          <w:rFonts w:ascii="PMingLiU" w:hAnsi="PMingLiU" w:cs="PMingLiU"/>
          <w:sz w:val="32"/>
          <w:szCs w:val="32"/>
          <w:lang w:eastAsia="zh-CN"/>
        </w:rPr>
      </w:pPr>
      <w:r>
        <w:rPr>
          <w:rFonts w:hint="eastAsia" w:ascii="PMingLiU" w:hAnsi="PMingLiU" w:cs="PMingLiU"/>
          <w:sz w:val="32"/>
          <w:szCs w:val="32"/>
          <w:lang w:eastAsia="zh-CN"/>
        </w:rPr>
        <w:t>（八）负责盐业管理；负责全区碘盐推广工作；承担全区盐业市场销售质量监测；负责盐业行政执法工作。</w:t>
      </w:r>
    </w:p>
    <w:p>
      <w:pPr>
        <w:spacing w:after="0" w:line="301" w:lineRule="auto"/>
        <w:rPr>
          <w:rFonts w:ascii="PMingLiU" w:hAnsi="PMingLiU" w:cs="PMingLiU"/>
          <w:sz w:val="32"/>
          <w:szCs w:val="32"/>
          <w:lang w:eastAsia="zh-CN"/>
        </w:rPr>
      </w:pPr>
      <w:r>
        <w:rPr>
          <w:rFonts w:hint="eastAsia" w:ascii="PMingLiU" w:hAnsi="PMingLiU" w:cs="PMingLiU"/>
          <w:sz w:val="32"/>
          <w:szCs w:val="32"/>
          <w:lang w:eastAsia="zh-CN"/>
        </w:rPr>
        <w:t>（九）负责推进全区商贸领域行政执法。</w:t>
      </w:r>
    </w:p>
    <w:p>
      <w:pPr>
        <w:spacing w:after="0" w:line="301" w:lineRule="auto"/>
        <w:rPr>
          <w:rFonts w:ascii="PMingLiU" w:hAnsi="PMingLiU" w:cs="PMingLiU"/>
          <w:sz w:val="32"/>
          <w:szCs w:val="32"/>
          <w:lang w:eastAsia="zh-CN"/>
        </w:rPr>
      </w:pPr>
      <w:r>
        <w:rPr>
          <w:rFonts w:hint="eastAsia" w:ascii="PMingLiU" w:hAnsi="PMingLiU" w:cs="PMingLiU"/>
          <w:sz w:val="32"/>
          <w:szCs w:val="32"/>
          <w:lang w:eastAsia="zh-CN"/>
        </w:rPr>
        <w:t>（十）提出招商引资和经济技术合作的战略、规划、总量平衡和结构优化的目标、政策；负责招商引资工作的宏观管理，负责和统筹协商国内招商引资和经济技术协作活动；会同有关部门拟订外商投资产业指导目录；负责全区重大招商项目的评估和协调工作。</w:t>
      </w:r>
    </w:p>
    <w:p>
      <w:pPr>
        <w:spacing w:after="0" w:line="301" w:lineRule="auto"/>
        <w:rPr>
          <w:rFonts w:ascii="PMingLiU" w:hAnsi="PMingLiU" w:cs="PMingLiU"/>
          <w:sz w:val="32"/>
          <w:szCs w:val="32"/>
          <w:lang w:eastAsia="zh-CN"/>
        </w:rPr>
      </w:pPr>
      <w:r>
        <w:rPr>
          <w:rFonts w:hint="eastAsia" w:ascii="PMingLiU" w:hAnsi="PMingLiU" w:cs="PMingLiU"/>
          <w:sz w:val="32"/>
          <w:szCs w:val="32"/>
          <w:lang w:eastAsia="zh-CN"/>
        </w:rPr>
        <w:t>（十一）贯彻执行国家、自治区和市有关对外经济合作和招商引资的方针、政策和法律、法规、规章、改革方案；拟订促进全市对外经济合作和招商引资发展的规定、措施；受委托起草有关地方性经济合作政策及发展规划草案，经审议通过后组织实施。</w:t>
      </w:r>
    </w:p>
    <w:p>
      <w:pPr>
        <w:spacing w:after="0" w:line="301" w:lineRule="auto"/>
        <w:rPr>
          <w:rFonts w:ascii="PMingLiU" w:hAnsi="PMingLiU" w:cs="PMingLiU"/>
          <w:sz w:val="32"/>
          <w:szCs w:val="32"/>
          <w:lang w:eastAsia="zh-CN"/>
        </w:rPr>
      </w:pPr>
      <w:r>
        <w:rPr>
          <w:rFonts w:hint="eastAsia" w:ascii="PMingLiU" w:hAnsi="PMingLiU" w:cs="PMingLiU"/>
          <w:sz w:val="32"/>
          <w:szCs w:val="32"/>
          <w:lang w:eastAsia="zh-CN"/>
        </w:rPr>
        <w:t>（十二）负责编制招商计划，组织开展对外招商、谈判、签约等活动；负责全区招商引资企业的立项申请、可行性研究报告及合同、章程审批和审核转报工作。</w:t>
      </w:r>
    </w:p>
    <w:p>
      <w:pPr>
        <w:spacing w:after="0" w:line="301" w:lineRule="auto"/>
        <w:rPr>
          <w:rFonts w:ascii="PMingLiU" w:hAnsi="PMingLiU" w:cs="PMingLiU"/>
          <w:sz w:val="32"/>
          <w:szCs w:val="32"/>
          <w:lang w:eastAsia="zh-CN"/>
        </w:rPr>
      </w:pPr>
      <w:r>
        <w:rPr>
          <w:rFonts w:hint="eastAsia" w:ascii="PMingLiU" w:hAnsi="PMingLiU" w:cs="PMingLiU"/>
          <w:sz w:val="32"/>
          <w:szCs w:val="32"/>
          <w:lang w:eastAsia="zh-CN"/>
        </w:rPr>
        <w:t>（十三）加强招商引资的对外联络荼，具体组织和协调有关部门承办区对外招商活动，参与乃东在区内外举办的对外经贸交易会、展销会、洽谈会。</w:t>
      </w:r>
    </w:p>
    <w:p>
      <w:pPr>
        <w:spacing w:after="0" w:line="301" w:lineRule="auto"/>
        <w:rPr>
          <w:rFonts w:ascii="PMingLiU" w:hAnsi="PMingLiU" w:cs="PMingLiU"/>
          <w:sz w:val="32"/>
          <w:szCs w:val="32"/>
          <w:lang w:eastAsia="zh-CN"/>
        </w:rPr>
      </w:pPr>
      <w:r>
        <w:rPr>
          <w:rFonts w:hint="eastAsia" w:ascii="PMingLiU" w:hAnsi="PMingLiU" w:cs="PMingLiU"/>
          <w:sz w:val="32"/>
          <w:szCs w:val="32"/>
          <w:lang w:eastAsia="zh-CN"/>
        </w:rPr>
        <w:t>（十四）负责全区招商引资咨询服务工作，指导并协调各乡（镇）、各部门的对外经济合作与招商引资事宜。</w:t>
      </w:r>
    </w:p>
    <w:p>
      <w:pPr>
        <w:spacing w:after="0" w:line="301" w:lineRule="auto"/>
        <w:rPr>
          <w:rFonts w:ascii="PMingLiU" w:hAnsi="PMingLiU" w:cs="PMingLiU"/>
          <w:sz w:val="32"/>
          <w:szCs w:val="32"/>
          <w:lang w:eastAsia="zh-CN"/>
        </w:rPr>
      </w:pPr>
      <w:r>
        <w:rPr>
          <w:rFonts w:hint="eastAsia" w:ascii="PMingLiU" w:hAnsi="PMingLiU" w:cs="PMingLiU"/>
          <w:sz w:val="32"/>
          <w:szCs w:val="32"/>
          <w:lang w:eastAsia="zh-CN"/>
        </w:rPr>
        <w:t>（十五）负责全区招商引资企业的指导、监督、协调和服务工作，检查监督招商引资企业执行有关法律、法规和合同、章程的情况；负责招商引资统计工作，分析研究外来投资情况。</w:t>
      </w:r>
    </w:p>
    <w:p>
      <w:pPr>
        <w:spacing w:after="0" w:line="301" w:lineRule="auto"/>
        <w:rPr>
          <w:rFonts w:ascii="PMingLiU" w:hAnsi="PMingLiU" w:cs="PMingLiU"/>
          <w:sz w:val="32"/>
          <w:szCs w:val="32"/>
          <w:lang w:eastAsia="zh-CN"/>
        </w:rPr>
      </w:pPr>
      <w:r>
        <w:rPr>
          <w:rFonts w:hint="eastAsia" w:ascii="PMingLiU" w:hAnsi="PMingLiU" w:cs="PMingLiU"/>
          <w:sz w:val="32"/>
          <w:szCs w:val="32"/>
          <w:lang w:eastAsia="zh-CN"/>
        </w:rPr>
        <w:t>（十六）负责招商网络建设；论语筛选招商引资项目，整理汇编全区招商引资库；负责全区招商引资政策的对外宣传和招商引资资料的搜集、修改、整理、归档等工作。</w:t>
      </w:r>
    </w:p>
    <w:p>
      <w:pPr>
        <w:spacing w:after="0" w:line="301" w:lineRule="auto"/>
        <w:rPr>
          <w:rFonts w:ascii="PMingLiU" w:hAnsi="PMingLiU" w:cs="PMingLiU"/>
          <w:sz w:val="32"/>
          <w:szCs w:val="32"/>
          <w:lang w:eastAsia="zh-CN"/>
        </w:rPr>
      </w:pPr>
      <w:r>
        <w:rPr>
          <w:rFonts w:hint="eastAsia" w:ascii="PMingLiU" w:hAnsi="PMingLiU" w:cs="PMingLiU"/>
          <w:sz w:val="32"/>
          <w:szCs w:val="32"/>
          <w:lang w:eastAsia="zh-CN"/>
        </w:rPr>
        <w:t>（十七）监测、分析全区招商引资企业生产运行态势，协调解决其经济运行中的有关事宜和困难，并提出对策和措施。</w:t>
      </w:r>
    </w:p>
    <w:p>
      <w:pPr>
        <w:spacing w:after="0" w:line="301" w:lineRule="auto"/>
        <w:rPr>
          <w:rFonts w:ascii="PMingLiU" w:hAnsi="PMingLiU" w:cs="PMingLiU"/>
          <w:sz w:val="32"/>
          <w:szCs w:val="32"/>
          <w:lang w:eastAsia="zh-CN"/>
        </w:rPr>
        <w:sectPr>
          <w:pgSz w:w="11920" w:h="16840"/>
          <w:pgMar w:top="1480" w:right="1520" w:bottom="1160" w:left="1680" w:header="0" w:footer="979" w:gutter="0"/>
          <w:cols w:space="720" w:num="1"/>
        </w:sectPr>
      </w:pPr>
      <w:r>
        <w:rPr>
          <w:rFonts w:hint="eastAsia" w:ascii="PMingLiU" w:hAnsi="PMingLiU" w:cs="PMingLiU"/>
          <w:sz w:val="32"/>
          <w:szCs w:val="32"/>
          <w:lang w:eastAsia="zh-CN"/>
        </w:rPr>
        <w:t>（十八）承办区政府交办的其他事项。</w:t>
      </w:r>
    </w:p>
    <w:p>
      <w:pPr>
        <w:jc w:val="center"/>
        <w:rPr>
          <w:rFonts w:hint="eastAsia" w:ascii="方正小标宋简体" w:hAnsi="方正小标宋简体" w:eastAsia="方正小标宋简体" w:cs="方正小标宋简体"/>
          <w:sz w:val="84"/>
          <w:szCs w:val="84"/>
        </w:rPr>
      </w:pPr>
    </w:p>
    <w:p>
      <w:pPr>
        <w:jc w:val="center"/>
        <w:rPr>
          <w:rFonts w:hint="eastAsia" w:ascii="方正小标宋简体" w:hAnsi="方正小标宋简体" w:eastAsia="方正小标宋简体" w:cs="方正小标宋简体"/>
          <w:sz w:val="84"/>
          <w:szCs w:val="84"/>
        </w:rPr>
      </w:pPr>
    </w:p>
    <w:p>
      <w:pPr>
        <w:jc w:val="center"/>
        <w:rPr>
          <w:rFonts w:hint="eastAsia" w:ascii="方正小标宋简体" w:hAnsi="方正小标宋简体" w:eastAsia="方正小标宋简体" w:cs="方正小标宋简体"/>
          <w:sz w:val="84"/>
          <w:szCs w:val="84"/>
        </w:rPr>
      </w:pPr>
    </w:p>
    <w:p>
      <w:pPr>
        <w:jc w:val="center"/>
        <w:rPr>
          <w:rFonts w:ascii="方正小标宋简体" w:hAnsi="方正小标宋简体" w:eastAsia="方正小标宋简体" w:cs="方正小标宋简体"/>
          <w:sz w:val="84"/>
          <w:szCs w:val="84"/>
        </w:rPr>
      </w:pPr>
      <w:r>
        <w:rPr>
          <w:rFonts w:hint="eastAsia" w:ascii="方正小标宋简体" w:hAnsi="方正小标宋简体" w:eastAsia="方正小标宋简体" w:cs="方正小标宋简体"/>
          <w:sz w:val="84"/>
          <w:szCs w:val="84"/>
        </w:rPr>
        <w:t>第二部分</w:t>
      </w:r>
    </w:p>
    <w:p/>
    <w:p/>
    <w:p>
      <w:pPr>
        <w:jc w:val="center"/>
        <w:rPr>
          <w:rFonts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72"/>
          <w:szCs w:val="72"/>
          <w:lang w:eastAsia="zh-CN"/>
        </w:rPr>
        <w:t>乃东区商务局</w:t>
      </w:r>
      <w:r>
        <w:rPr>
          <w:rFonts w:hint="eastAsia" w:ascii="方正小标宋简体" w:hAnsi="方正小标宋简体" w:eastAsia="方正小标宋简体" w:cs="方正小标宋简体"/>
          <w:sz w:val="72"/>
          <w:szCs w:val="72"/>
        </w:rPr>
        <w:t>201</w:t>
      </w:r>
      <w:r>
        <w:rPr>
          <w:rFonts w:hint="eastAsia" w:ascii="方正小标宋简体" w:hAnsi="方正小标宋简体" w:eastAsia="方正小标宋简体" w:cs="方正小标宋简体"/>
          <w:sz w:val="72"/>
          <w:szCs w:val="72"/>
          <w:lang w:val="en-US" w:eastAsia="zh-CN"/>
        </w:rPr>
        <w:t>6</w:t>
      </w:r>
      <w:r>
        <w:rPr>
          <w:rFonts w:hint="eastAsia" w:ascii="方正小标宋简体" w:hAnsi="方正小标宋简体" w:eastAsia="方正小标宋简体" w:cs="方正小标宋简体"/>
          <w:sz w:val="72"/>
          <w:szCs w:val="72"/>
        </w:rPr>
        <w:t>年部门预算表</w:t>
      </w:r>
    </w:p>
    <w:p>
      <w:pPr>
        <w:rPr>
          <w:rFonts w:ascii="仿宋_GB2312" w:hAnsi="仿宋_GB2312" w:eastAsia="仿宋_GB2312" w:cs="仿宋_GB2312"/>
          <w:sz w:val="32"/>
          <w:szCs w:val="32"/>
        </w:rPr>
        <w:sectPr>
          <w:headerReference r:id="rId4" w:type="default"/>
          <w:footerReference r:id="rId5" w:type="default"/>
          <w:pgSz w:w="11906" w:h="16838"/>
          <w:pgMar w:top="1440" w:right="1800" w:bottom="1440" w:left="1800" w:header="851" w:footer="992" w:gutter="0"/>
          <w:cols w:space="425" w:num="1"/>
          <w:docGrid w:type="lines" w:linePitch="312" w:charSpace="0"/>
        </w:sectPr>
      </w:pPr>
    </w:p>
    <w:tbl>
      <w:tblPr>
        <w:tblW w:w="833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1401"/>
        <w:gridCol w:w="1350"/>
        <w:gridCol w:w="1605"/>
        <w:gridCol w:w="1350"/>
        <w:gridCol w:w="1630"/>
        <w:gridCol w:w="9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80" w:hRule="atLeast"/>
        </w:trPr>
        <w:tc>
          <w:tcPr>
            <w:tcW w:w="8330" w:type="dxa"/>
            <w:gridSpan w:val="6"/>
            <w:shd w:val="clear"/>
            <w:vAlign w:val="center"/>
          </w:tcPr>
          <w:p>
            <w:pPr>
              <w:keepNext w:val="0"/>
              <w:keepLines w:val="0"/>
              <w:widowControl/>
              <w:suppressLineNumbers w:val="0"/>
              <w:jc w:val="left"/>
              <w:textAlignment w:val="center"/>
              <w:rPr>
                <w:rFonts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表1</w:t>
            </w:r>
          </w:p>
          <w:p>
            <w:pPr>
              <w:jc w:val="center"/>
              <w:rPr>
                <w:rFonts w:hint="eastAsia" w:ascii="宋体" w:hAnsi="宋体" w:eastAsia="宋体" w:cs="宋体"/>
                <w:i w:val="0"/>
                <w:color w:val="000000"/>
                <w:sz w:val="22"/>
                <w:szCs w:val="22"/>
                <w:u w:val="none"/>
              </w:rPr>
            </w:pPr>
            <w:r>
              <w:rPr>
                <w:rFonts w:hint="eastAsia" w:ascii="方正小标宋简体" w:hAnsi="方正小标宋简体" w:eastAsia="方正小标宋简体" w:cs="方正小标宋简体"/>
                <w:i w:val="0"/>
                <w:color w:val="000000"/>
                <w:kern w:val="0"/>
                <w:sz w:val="36"/>
                <w:szCs w:val="36"/>
                <w:u w:val="none"/>
                <w:lang w:val="en-US" w:eastAsia="zh-CN" w:bidi="ar"/>
              </w:rPr>
              <w:t>财政拨款收支决算总表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2751" w:type="dxa"/>
            <w:gridSpan w:val="2"/>
            <w:tcBorders>
              <w:bottom w:val="single" w:color="000000" w:sz="12"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 xml:space="preserve">   </w:t>
            </w:r>
          </w:p>
        </w:tc>
        <w:tc>
          <w:tcPr>
            <w:tcW w:w="1605" w:type="dxa"/>
            <w:tcBorders>
              <w:bottom w:val="single" w:color="000000" w:sz="12" w:space="0"/>
            </w:tcBorders>
            <w:shd w:val="clear"/>
            <w:vAlign w:val="center"/>
          </w:tcPr>
          <w:p>
            <w:pPr>
              <w:jc w:val="left"/>
              <w:rPr>
                <w:rFonts w:hint="eastAsia" w:ascii="宋体" w:hAnsi="宋体" w:eastAsia="宋体" w:cs="宋体"/>
                <w:i w:val="0"/>
                <w:color w:val="000000"/>
                <w:sz w:val="21"/>
                <w:szCs w:val="21"/>
                <w:u w:val="none"/>
              </w:rPr>
            </w:pPr>
          </w:p>
        </w:tc>
        <w:tc>
          <w:tcPr>
            <w:tcW w:w="1350" w:type="dxa"/>
            <w:tcBorders>
              <w:bottom w:val="single" w:color="000000" w:sz="12" w:space="0"/>
            </w:tcBorders>
            <w:shd w:val="clear"/>
            <w:vAlign w:val="center"/>
          </w:tcPr>
          <w:p>
            <w:pPr>
              <w:jc w:val="left"/>
              <w:rPr>
                <w:rFonts w:hint="eastAsia" w:ascii="宋体" w:hAnsi="宋体" w:eastAsia="宋体" w:cs="宋体"/>
                <w:i w:val="0"/>
                <w:color w:val="000000"/>
                <w:sz w:val="21"/>
                <w:szCs w:val="21"/>
                <w:u w:val="none"/>
              </w:rPr>
            </w:pPr>
          </w:p>
        </w:tc>
        <w:tc>
          <w:tcPr>
            <w:tcW w:w="2624" w:type="dxa"/>
            <w:gridSpan w:val="2"/>
            <w:tcBorders>
              <w:bottom w:val="single" w:color="000000" w:sz="12"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2751" w:type="dxa"/>
            <w:gridSpan w:val="2"/>
            <w:tcBorders>
              <w:top w:val="single" w:color="000000" w:sz="12" w:space="0"/>
              <w:left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收入</w:t>
            </w:r>
          </w:p>
        </w:tc>
        <w:tc>
          <w:tcPr>
            <w:tcW w:w="5579" w:type="dxa"/>
            <w:gridSpan w:val="4"/>
            <w:tcBorders>
              <w:top w:val="single" w:color="000000" w:sz="12" w:space="0"/>
              <w:left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40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决算数</w:t>
            </w:r>
          </w:p>
        </w:tc>
        <w:tc>
          <w:tcPr>
            <w:tcW w:w="16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合计</w:t>
            </w:r>
          </w:p>
        </w:tc>
        <w:tc>
          <w:tcPr>
            <w:tcW w:w="1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一般公共预算财政拨款</w:t>
            </w:r>
          </w:p>
        </w:tc>
        <w:tc>
          <w:tcPr>
            <w:tcW w:w="99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政府性基金预算财政拨款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40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一、本年收入</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6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一、本年支出</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63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99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40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（一）一般公共预算拨款</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3,720,416.50</w:t>
            </w:r>
          </w:p>
        </w:tc>
        <w:tc>
          <w:tcPr>
            <w:tcW w:w="16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一、一般公共服务支出</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3,120,416.50</w:t>
            </w:r>
          </w:p>
        </w:tc>
        <w:tc>
          <w:tcPr>
            <w:tcW w:w="1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3,120,416.50</w:t>
            </w:r>
          </w:p>
        </w:tc>
        <w:tc>
          <w:tcPr>
            <w:tcW w:w="99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40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（二）政府性基金预算拨款</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6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十五、商业服务业等支出</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600,000.00</w:t>
            </w:r>
          </w:p>
        </w:tc>
        <w:tc>
          <w:tcPr>
            <w:tcW w:w="1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600,000.00</w:t>
            </w:r>
          </w:p>
        </w:tc>
        <w:tc>
          <w:tcPr>
            <w:tcW w:w="99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401" w:type="dxa"/>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color w:val="000000"/>
                <w:sz w:val="22"/>
                <w:szCs w:val="22"/>
                <w:u w:val="none"/>
              </w:rPr>
            </w:pP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605" w:type="dxa"/>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color w:val="000000"/>
                <w:sz w:val="22"/>
                <w:szCs w:val="22"/>
                <w:u w:val="none"/>
              </w:rPr>
            </w:pP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63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994"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401" w:type="dxa"/>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color w:val="000000"/>
                <w:sz w:val="22"/>
                <w:szCs w:val="22"/>
                <w:u w:val="none"/>
              </w:rPr>
            </w:pP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605" w:type="dxa"/>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color w:val="000000"/>
                <w:sz w:val="22"/>
                <w:szCs w:val="22"/>
                <w:u w:val="none"/>
              </w:rPr>
            </w:pP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63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99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401" w:type="dxa"/>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color w:val="000000"/>
                <w:sz w:val="22"/>
                <w:szCs w:val="22"/>
                <w:u w:val="none"/>
              </w:rPr>
            </w:pP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605" w:type="dxa"/>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color w:val="000000"/>
                <w:sz w:val="22"/>
                <w:szCs w:val="22"/>
                <w:u w:val="none"/>
              </w:rPr>
            </w:pP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63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99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40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二、上年结转</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605" w:type="dxa"/>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color w:val="000000"/>
                <w:sz w:val="22"/>
                <w:szCs w:val="22"/>
                <w:u w:val="none"/>
              </w:rPr>
            </w:pP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63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99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40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（一）一般公共预算拨款</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6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63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99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40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（二）政府性基金预算拨款</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605" w:type="dxa"/>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color w:val="000000"/>
                <w:sz w:val="22"/>
                <w:szCs w:val="22"/>
                <w:u w:val="none"/>
              </w:rPr>
            </w:pP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63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99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401"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6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二、结转下年</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63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99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401"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60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63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99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40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收 入 总 计</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3,720,416.50</w:t>
            </w:r>
          </w:p>
        </w:tc>
        <w:tc>
          <w:tcPr>
            <w:tcW w:w="16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 出 总 计</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3,720,416.50</w:t>
            </w:r>
          </w:p>
        </w:tc>
        <w:tc>
          <w:tcPr>
            <w:tcW w:w="1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3,720,416.50</w:t>
            </w:r>
          </w:p>
        </w:tc>
        <w:tc>
          <w:tcPr>
            <w:tcW w:w="99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bl>
    <w:p/>
    <w:p/>
    <w:p/>
    <w:p/>
    <w:p/>
    <w:p/>
    <w:tbl>
      <w:tblPr>
        <w:tblW w:w="833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831"/>
        <w:gridCol w:w="1560"/>
        <w:gridCol w:w="2987"/>
        <w:gridCol w:w="1290"/>
        <w:gridCol w:w="1290"/>
        <w:gridCol w:w="3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720" w:hRule="atLeast"/>
        </w:trPr>
        <w:tc>
          <w:tcPr>
            <w:tcW w:w="8330" w:type="dxa"/>
            <w:gridSpan w:val="6"/>
            <w:shd w:val="clear"/>
            <w:vAlign w:val="center"/>
          </w:tcPr>
          <w:p>
            <w:pPr>
              <w:keepNext w:val="0"/>
              <w:keepLines w:val="0"/>
              <w:widowControl/>
              <w:suppressLineNumbers w:val="0"/>
              <w:jc w:val="left"/>
              <w:textAlignment w:val="center"/>
              <w:rPr>
                <w:rFonts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表2</w:t>
            </w:r>
          </w:p>
          <w:p>
            <w:pPr>
              <w:jc w:val="center"/>
              <w:rPr>
                <w:rFonts w:hint="eastAsia" w:ascii="宋体" w:hAnsi="宋体" w:eastAsia="宋体" w:cs="宋体"/>
                <w:i w:val="0"/>
                <w:color w:val="000000"/>
                <w:sz w:val="22"/>
                <w:szCs w:val="22"/>
                <w:u w:val="none"/>
              </w:rPr>
            </w:pPr>
            <w:r>
              <w:rPr>
                <w:rFonts w:hint="eastAsia" w:ascii="方正小标宋简体" w:hAnsi="方正小标宋简体" w:eastAsia="方正小标宋简体" w:cs="方正小标宋简体"/>
                <w:i w:val="0"/>
                <w:color w:val="000000"/>
                <w:kern w:val="0"/>
                <w:sz w:val="36"/>
                <w:szCs w:val="36"/>
                <w:u w:val="none"/>
                <w:lang w:val="en-US" w:eastAsia="zh-CN" w:bidi="ar"/>
              </w:rPr>
              <w:t>一般公共预算支出决算表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8330" w:type="dxa"/>
            <w:gridSpan w:val="6"/>
            <w:tcBorders>
              <w:bottom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2391"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功能分类科目</w:t>
            </w:r>
          </w:p>
        </w:tc>
        <w:tc>
          <w:tcPr>
            <w:tcW w:w="5567"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2016年决算数</w:t>
            </w:r>
          </w:p>
        </w:tc>
        <w:tc>
          <w:tcPr>
            <w:tcW w:w="372"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83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科目编码</w:t>
            </w:r>
          </w:p>
        </w:tc>
        <w:tc>
          <w:tcPr>
            <w:tcW w:w="15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科目名称</w:t>
            </w:r>
          </w:p>
        </w:tc>
        <w:tc>
          <w:tcPr>
            <w:tcW w:w="298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小计</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基本支出</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项目支出</w:t>
            </w:r>
          </w:p>
        </w:tc>
        <w:tc>
          <w:tcPr>
            <w:tcW w:w="372"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83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w:t>
            </w:r>
          </w:p>
        </w:tc>
        <w:tc>
          <w:tcPr>
            <w:tcW w:w="15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一般公共服务支出</w:t>
            </w:r>
          </w:p>
        </w:tc>
        <w:tc>
          <w:tcPr>
            <w:tcW w:w="298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3,120,416.50</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2,059,854.00</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1,060,562.50</w:t>
            </w:r>
          </w:p>
        </w:tc>
        <w:tc>
          <w:tcPr>
            <w:tcW w:w="37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83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20113</w:t>
            </w:r>
          </w:p>
        </w:tc>
        <w:tc>
          <w:tcPr>
            <w:tcW w:w="15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商贸事务</w:t>
            </w:r>
          </w:p>
        </w:tc>
        <w:tc>
          <w:tcPr>
            <w:tcW w:w="298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3,120,416.50</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2,059,854.00</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1,060,562.50</w:t>
            </w:r>
          </w:p>
        </w:tc>
        <w:tc>
          <w:tcPr>
            <w:tcW w:w="37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83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2011301</w:t>
            </w:r>
          </w:p>
        </w:tc>
        <w:tc>
          <w:tcPr>
            <w:tcW w:w="15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行政运行</w:t>
            </w:r>
          </w:p>
        </w:tc>
        <w:tc>
          <w:tcPr>
            <w:tcW w:w="298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935,289.00</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935,289.00</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37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83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2011399</w:t>
            </w:r>
          </w:p>
        </w:tc>
        <w:tc>
          <w:tcPr>
            <w:tcW w:w="15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其他商贸事务支出</w:t>
            </w:r>
          </w:p>
        </w:tc>
        <w:tc>
          <w:tcPr>
            <w:tcW w:w="298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2,185,127.50</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1,124,565.00</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1,060,562.50</w:t>
            </w:r>
          </w:p>
        </w:tc>
        <w:tc>
          <w:tcPr>
            <w:tcW w:w="37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83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216</w:t>
            </w:r>
          </w:p>
        </w:tc>
        <w:tc>
          <w:tcPr>
            <w:tcW w:w="15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商业服务业等支出</w:t>
            </w:r>
          </w:p>
        </w:tc>
        <w:tc>
          <w:tcPr>
            <w:tcW w:w="298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600,000.00</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600,000.00</w:t>
            </w:r>
          </w:p>
        </w:tc>
        <w:tc>
          <w:tcPr>
            <w:tcW w:w="37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83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21602</w:t>
            </w:r>
          </w:p>
        </w:tc>
        <w:tc>
          <w:tcPr>
            <w:tcW w:w="15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商业流通事务</w:t>
            </w:r>
          </w:p>
        </w:tc>
        <w:tc>
          <w:tcPr>
            <w:tcW w:w="298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600,000.00</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600,000.00</w:t>
            </w:r>
          </w:p>
        </w:tc>
        <w:tc>
          <w:tcPr>
            <w:tcW w:w="37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83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2160299</w:t>
            </w:r>
          </w:p>
        </w:tc>
        <w:tc>
          <w:tcPr>
            <w:tcW w:w="15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其他商业流通事务支出</w:t>
            </w:r>
          </w:p>
        </w:tc>
        <w:tc>
          <w:tcPr>
            <w:tcW w:w="298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600,000.00</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600,000.00</w:t>
            </w:r>
          </w:p>
        </w:tc>
        <w:tc>
          <w:tcPr>
            <w:tcW w:w="37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83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合计</w:t>
            </w:r>
          </w:p>
        </w:tc>
        <w:tc>
          <w:tcPr>
            <w:tcW w:w="156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298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3,720,416.50</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2,059,854.00</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1,660,562.50</w:t>
            </w:r>
          </w:p>
        </w:tc>
        <w:tc>
          <w:tcPr>
            <w:tcW w:w="37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8330" w:type="dxa"/>
            <w:gridSpan w:val="6"/>
            <w:tcBorders>
              <w:top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备注：本表按照政府收支分类科目列示到</w:t>
            </w:r>
            <w:r>
              <w:rPr>
                <w:rFonts w:hint="eastAsia" w:ascii="宋体" w:hAnsi="宋体" w:eastAsia="宋体" w:cs="宋体"/>
                <w:b/>
                <w:i w:val="0"/>
                <w:color w:val="000000"/>
                <w:kern w:val="0"/>
                <w:sz w:val="24"/>
                <w:szCs w:val="24"/>
                <w:u w:val="none"/>
                <w:lang w:val="en-US" w:eastAsia="zh-CN" w:bidi="ar"/>
              </w:rPr>
              <w:t>项级</w:t>
            </w:r>
            <w:r>
              <w:rPr>
                <w:rFonts w:hint="eastAsia" w:ascii="宋体" w:hAnsi="宋体" w:eastAsia="宋体" w:cs="宋体"/>
                <w:i w:val="0"/>
                <w:color w:val="000000"/>
                <w:kern w:val="0"/>
                <w:sz w:val="24"/>
                <w:szCs w:val="24"/>
                <w:u w:val="none"/>
                <w:lang w:val="en-US" w:eastAsia="zh-CN" w:bidi="ar"/>
              </w:rPr>
              <w:t>科目</w:t>
            </w:r>
          </w:p>
        </w:tc>
      </w:tr>
    </w:tbl>
    <w:p/>
    <w:p/>
    <w:p/>
    <w:p/>
    <w:p/>
    <w:p/>
    <w:p/>
    <w:p/>
    <w:tbl>
      <w:tblPr>
        <w:tblW w:w="833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726"/>
        <w:gridCol w:w="1572"/>
        <w:gridCol w:w="3178"/>
        <w:gridCol w:w="1361"/>
        <w:gridCol w:w="1139"/>
        <w:gridCol w:w="3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40" w:hRule="atLeast"/>
        </w:trPr>
        <w:tc>
          <w:tcPr>
            <w:tcW w:w="8330" w:type="dxa"/>
            <w:gridSpan w:val="6"/>
            <w:shd w:val="clear"/>
            <w:vAlign w:val="center"/>
          </w:tcPr>
          <w:p>
            <w:pPr>
              <w:keepNext w:val="0"/>
              <w:keepLines w:val="0"/>
              <w:widowControl/>
              <w:suppressLineNumbers w:val="0"/>
              <w:jc w:val="left"/>
              <w:textAlignment w:val="center"/>
              <w:rPr>
                <w:rFonts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表3</w:t>
            </w:r>
          </w:p>
          <w:p>
            <w:pPr>
              <w:jc w:val="center"/>
              <w:rPr>
                <w:rFonts w:hint="eastAsia" w:ascii="宋体" w:hAnsi="宋体" w:eastAsia="宋体" w:cs="宋体"/>
                <w:i w:val="0"/>
                <w:color w:val="000000"/>
                <w:sz w:val="22"/>
                <w:szCs w:val="22"/>
                <w:u w:val="none"/>
              </w:rPr>
            </w:pPr>
            <w:r>
              <w:rPr>
                <w:rFonts w:hint="eastAsia" w:ascii="方正小标宋简体" w:hAnsi="方正小标宋简体" w:eastAsia="方正小标宋简体" w:cs="方正小标宋简体"/>
                <w:i w:val="0"/>
                <w:color w:val="000000"/>
                <w:kern w:val="0"/>
                <w:sz w:val="36"/>
                <w:szCs w:val="36"/>
                <w:u w:val="none"/>
                <w:lang w:val="en-US" w:eastAsia="zh-CN" w:bidi="ar"/>
              </w:rPr>
              <w:t>一般公共预算基本支出决算表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726" w:type="dxa"/>
            <w:shd w:val="clear"/>
            <w:vAlign w:val="center"/>
          </w:tcPr>
          <w:p>
            <w:pPr>
              <w:jc w:val="both"/>
              <w:rPr>
                <w:rFonts w:hint="eastAsia" w:ascii="宋体" w:hAnsi="宋体" w:eastAsia="宋体" w:cs="宋体"/>
                <w:i w:val="0"/>
                <w:color w:val="000000"/>
                <w:sz w:val="21"/>
                <w:szCs w:val="21"/>
                <w:u w:val="none"/>
              </w:rPr>
            </w:pPr>
          </w:p>
        </w:tc>
        <w:tc>
          <w:tcPr>
            <w:tcW w:w="1572" w:type="dxa"/>
            <w:shd w:val="clear"/>
            <w:vAlign w:val="center"/>
          </w:tcPr>
          <w:p>
            <w:pPr>
              <w:rPr>
                <w:rFonts w:hint="eastAsia" w:ascii="宋体" w:hAnsi="宋体" w:eastAsia="宋体" w:cs="宋体"/>
                <w:i w:val="0"/>
                <w:color w:val="000000"/>
                <w:sz w:val="22"/>
                <w:szCs w:val="22"/>
                <w:u w:val="none"/>
              </w:rPr>
            </w:pPr>
          </w:p>
        </w:tc>
        <w:tc>
          <w:tcPr>
            <w:tcW w:w="3178" w:type="dxa"/>
            <w:shd w:val="clear"/>
            <w:vAlign w:val="center"/>
          </w:tcPr>
          <w:p>
            <w:pPr>
              <w:rPr>
                <w:rFonts w:hint="eastAsia" w:ascii="宋体" w:hAnsi="宋体" w:eastAsia="宋体" w:cs="宋体"/>
                <w:i w:val="0"/>
                <w:color w:val="000000"/>
                <w:sz w:val="22"/>
                <w:szCs w:val="22"/>
                <w:u w:val="none"/>
              </w:rPr>
            </w:pPr>
          </w:p>
        </w:tc>
        <w:tc>
          <w:tcPr>
            <w:tcW w:w="1361" w:type="dxa"/>
            <w:shd w:val="clear"/>
            <w:vAlign w:val="center"/>
          </w:tcPr>
          <w:p>
            <w:pPr>
              <w:rPr>
                <w:rFonts w:hint="eastAsia" w:ascii="宋体" w:hAnsi="宋体" w:eastAsia="宋体" w:cs="宋体"/>
                <w:i w:val="0"/>
                <w:color w:val="000000"/>
                <w:sz w:val="22"/>
                <w:szCs w:val="22"/>
                <w:u w:val="none"/>
              </w:rPr>
            </w:pPr>
          </w:p>
        </w:tc>
        <w:tc>
          <w:tcPr>
            <w:tcW w:w="1493" w:type="dxa"/>
            <w:gridSpan w:val="2"/>
            <w:tcBorders>
              <w:bottom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2298"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经济分类科目</w:t>
            </w:r>
          </w:p>
        </w:tc>
        <w:tc>
          <w:tcPr>
            <w:tcW w:w="5678"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年基本支出</w:t>
            </w:r>
          </w:p>
        </w:tc>
        <w:tc>
          <w:tcPr>
            <w:tcW w:w="354"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7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科目编码</w:t>
            </w:r>
          </w:p>
        </w:tc>
        <w:tc>
          <w:tcPr>
            <w:tcW w:w="15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科目名称</w:t>
            </w:r>
          </w:p>
        </w:tc>
        <w:tc>
          <w:tcPr>
            <w:tcW w:w="317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合计</w:t>
            </w:r>
          </w:p>
        </w:tc>
        <w:tc>
          <w:tcPr>
            <w:tcW w:w="136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人员经费</w:t>
            </w:r>
          </w:p>
        </w:tc>
        <w:tc>
          <w:tcPr>
            <w:tcW w:w="113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公用经费</w:t>
            </w:r>
          </w:p>
        </w:tc>
        <w:tc>
          <w:tcPr>
            <w:tcW w:w="35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7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301</w:t>
            </w:r>
          </w:p>
        </w:tc>
        <w:tc>
          <w:tcPr>
            <w:tcW w:w="15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工资福利支出</w:t>
            </w:r>
          </w:p>
        </w:tc>
        <w:tc>
          <w:tcPr>
            <w:tcW w:w="317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1,426,273.00</w:t>
            </w:r>
          </w:p>
        </w:tc>
        <w:tc>
          <w:tcPr>
            <w:tcW w:w="136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1,426,273.00</w:t>
            </w:r>
          </w:p>
        </w:tc>
        <w:tc>
          <w:tcPr>
            <w:tcW w:w="113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35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7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30101</w:t>
            </w:r>
          </w:p>
        </w:tc>
        <w:tc>
          <w:tcPr>
            <w:tcW w:w="15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基本工资</w:t>
            </w:r>
          </w:p>
        </w:tc>
        <w:tc>
          <w:tcPr>
            <w:tcW w:w="317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374,922.00</w:t>
            </w:r>
          </w:p>
        </w:tc>
        <w:tc>
          <w:tcPr>
            <w:tcW w:w="136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374,922.00</w:t>
            </w:r>
          </w:p>
        </w:tc>
        <w:tc>
          <w:tcPr>
            <w:tcW w:w="113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35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7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30102</w:t>
            </w:r>
          </w:p>
        </w:tc>
        <w:tc>
          <w:tcPr>
            <w:tcW w:w="15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津贴补贴</w:t>
            </w:r>
          </w:p>
        </w:tc>
        <w:tc>
          <w:tcPr>
            <w:tcW w:w="317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1,051,351.00</w:t>
            </w:r>
          </w:p>
        </w:tc>
        <w:tc>
          <w:tcPr>
            <w:tcW w:w="136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1,051,351.00</w:t>
            </w:r>
          </w:p>
        </w:tc>
        <w:tc>
          <w:tcPr>
            <w:tcW w:w="113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35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7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30103</w:t>
            </w:r>
          </w:p>
        </w:tc>
        <w:tc>
          <w:tcPr>
            <w:tcW w:w="15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奖金</w:t>
            </w:r>
          </w:p>
        </w:tc>
        <w:tc>
          <w:tcPr>
            <w:tcW w:w="317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361"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13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35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7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30104</w:t>
            </w:r>
          </w:p>
        </w:tc>
        <w:tc>
          <w:tcPr>
            <w:tcW w:w="15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社会保障缴费</w:t>
            </w:r>
          </w:p>
        </w:tc>
        <w:tc>
          <w:tcPr>
            <w:tcW w:w="317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361"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13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35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7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30106</w:t>
            </w:r>
          </w:p>
        </w:tc>
        <w:tc>
          <w:tcPr>
            <w:tcW w:w="15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伙食补助</w:t>
            </w:r>
          </w:p>
        </w:tc>
        <w:tc>
          <w:tcPr>
            <w:tcW w:w="317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361"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13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35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7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30199</w:t>
            </w:r>
          </w:p>
        </w:tc>
        <w:tc>
          <w:tcPr>
            <w:tcW w:w="15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其他工资福利支出</w:t>
            </w:r>
          </w:p>
        </w:tc>
        <w:tc>
          <w:tcPr>
            <w:tcW w:w="317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361"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13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35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7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302</w:t>
            </w:r>
          </w:p>
        </w:tc>
        <w:tc>
          <w:tcPr>
            <w:tcW w:w="15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商品和服务支出</w:t>
            </w:r>
          </w:p>
        </w:tc>
        <w:tc>
          <w:tcPr>
            <w:tcW w:w="317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577,621.00</w:t>
            </w:r>
          </w:p>
        </w:tc>
        <w:tc>
          <w:tcPr>
            <w:tcW w:w="1361"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i w:val="0"/>
                <w:color w:val="000000"/>
                <w:sz w:val="22"/>
                <w:szCs w:val="22"/>
                <w:u w:val="none"/>
              </w:rPr>
            </w:pPr>
          </w:p>
        </w:tc>
        <w:tc>
          <w:tcPr>
            <w:tcW w:w="113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577,621.00</w:t>
            </w:r>
          </w:p>
        </w:tc>
        <w:tc>
          <w:tcPr>
            <w:tcW w:w="35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7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30201</w:t>
            </w:r>
          </w:p>
        </w:tc>
        <w:tc>
          <w:tcPr>
            <w:tcW w:w="15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办公费</w:t>
            </w:r>
          </w:p>
        </w:tc>
        <w:tc>
          <w:tcPr>
            <w:tcW w:w="317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236,746.00</w:t>
            </w:r>
          </w:p>
        </w:tc>
        <w:tc>
          <w:tcPr>
            <w:tcW w:w="1361"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13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236,746.00</w:t>
            </w:r>
          </w:p>
        </w:tc>
        <w:tc>
          <w:tcPr>
            <w:tcW w:w="35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7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30202</w:t>
            </w:r>
          </w:p>
        </w:tc>
        <w:tc>
          <w:tcPr>
            <w:tcW w:w="15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印刷费</w:t>
            </w:r>
          </w:p>
        </w:tc>
        <w:tc>
          <w:tcPr>
            <w:tcW w:w="317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162,791.70</w:t>
            </w:r>
          </w:p>
        </w:tc>
        <w:tc>
          <w:tcPr>
            <w:tcW w:w="1361"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13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162,791.70</w:t>
            </w:r>
          </w:p>
        </w:tc>
        <w:tc>
          <w:tcPr>
            <w:tcW w:w="35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7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30203</w:t>
            </w:r>
          </w:p>
        </w:tc>
        <w:tc>
          <w:tcPr>
            <w:tcW w:w="15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咨询费</w:t>
            </w:r>
          </w:p>
        </w:tc>
        <w:tc>
          <w:tcPr>
            <w:tcW w:w="317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361"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13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35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7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30205</w:t>
            </w:r>
          </w:p>
        </w:tc>
        <w:tc>
          <w:tcPr>
            <w:tcW w:w="15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水费</w:t>
            </w:r>
          </w:p>
        </w:tc>
        <w:tc>
          <w:tcPr>
            <w:tcW w:w="317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361"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13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35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7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30206</w:t>
            </w:r>
          </w:p>
        </w:tc>
        <w:tc>
          <w:tcPr>
            <w:tcW w:w="15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电费</w:t>
            </w:r>
          </w:p>
        </w:tc>
        <w:tc>
          <w:tcPr>
            <w:tcW w:w="317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51,619.36</w:t>
            </w:r>
          </w:p>
        </w:tc>
        <w:tc>
          <w:tcPr>
            <w:tcW w:w="1361"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13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51,619.36</w:t>
            </w:r>
          </w:p>
        </w:tc>
        <w:tc>
          <w:tcPr>
            <w:tcW w:w="35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7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30207</w:t>
            </w:r>
          </w:p>
        </w:tc>
        <w:tc>
          <w:tcPr>
            <w:tcW w:w="15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邮电费</w:t>
            </w:r>
          </w:p>
        </w:tc>
        <w:tc>
          <w:tcPr>
            <w:tcW w:w="317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16,120.00</w:t>
            </w:r>
          </w:p>
        </w:tc>
        <w:tc>
          <w:tcPr>
            <w:tcW w:w="1361"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13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16,120.00</w:t>
            </w:r>
          </w:p>
        </w:tc>
        <w:tc>
          <w:tcPr>
            <w:tcW w:w="35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7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30208</w:t>
            </w:r>
          </w:p>
        </w:tc>
        <w:tc>
          <w:tcPr>
            <w:tcW w:w="15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取暖费</w:t>
            </w:r>
          </w:p>
        </w:tc>
        <w:tc>
          <w:tcPr>
            <w:tcW w:w="317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12,060.00</w:t>
            </w:r>
          </w:p>
        </w:tc>
        <w:tc>
          <w:tcPr>
            <w:tcW w:w="1361"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13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12,060.00</w:t>
            </w:r>
          </w:p>
        </w:tc>
        <w:tc>
          <w:tcPr>
            <w:tcW w:w="35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7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30209</w:t>
            </w:r>
          </w:p>
        </w:tc>
        <w:tc>
          <w:tcPr>
            <w:tcW w:w="15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物业管理费</w:t>
            </w:r>
          </w:p>
        </w:tc>
        <w:tc>
          <w:tcPr>
            <w:tcW w:w="317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361"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13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35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7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30211</w:t>
            </w:r>
          </w:p>
        </w:tc>
        <w:tc>
          <w:tcPr>
            <w:tcW w:w="15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差旅费</w:t>
            </w:r>
          </w:p>
        </w:tc>
        <w:tc>
          <w:tcPr>
            <w:tcW w:w="317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42,170.64</w:t>
            </w:r>
          </w:p>
        </w:tc>
        <w:tc>
          <w:tcPr>
            <w:tcW w:w="1361"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13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42,170.64</w:t>
            </w:r>
          </w:p>
        </w:tc>
        <w:tc>
          <w:tcPr>
            <w:tcW w:w="35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7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30213</w:t>
            </w:r>
          </w:p>
        </w:tc>
        <w:tc>
          <w:tcPr>
            <w:tcW w:w="15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维修（护）费</w:t>
            </w:r>
          </w:p>
        </w:tc>
        <w:tc>
          <w:tcPr>
            <w:tcW w:w="317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361"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13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35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7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30214</w:t>
            </w:r>
          </w:p>
        </w:tc>
        <w:tc>
          <w:tcPr>
            <w:tcW w:w="15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租赁费</w:t>
            </w:r>
          </w:p>
        </w:tc>
        <w:tc>
          <w:tcPr>
            <w:tcW w:w="317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361"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13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35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7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30215</w:t>
            </w:r>
          </w:p>
        </w:tc>
        <w:tc>
          <w:tcPr>
            <w:tcW w:w="15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会议费</w:t>
            </w:r>
          </w:p>
        </w:tc>
        <w:tc>
          <w:tcPr>
            <w:tcW w:w="317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361"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13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35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7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30216</w:t>
            </w:r>
          </w:p>
        </w:tc>
        <w:tc>
          <w:tcPr>
            <w:tcW w:w="1572" w:type="dxa"/>
            <w:tcBorders>
              <w:left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培训费</w:t>
            </w:r>
          </w:p>
        </w:tc>
        <w:tc>
          <w:tcPr>
            <w:tcW w:w="317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61"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13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35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7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30217</w:t>
            </w:r>
          </w:p>
        </w:tc>
        <w:tc>
          <w:tcPr>
            <w:tcW w:w="15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公务接待费</w:t>
            </w:r>
          </w:p>
        </w:tc>
        <w:tc>
          <w:tcPr>
            <w:tcW w:w="317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14,922.00</w:t>
            </w:r>
          </w:p>
        </w:tc>
        <w:tc>
          <w:tcPr>
            <w:tcW w:w="1361"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13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14,922.00</w:t>
            </w:r>
          </w:p>
        </w:tc>
        <w:tc>
          <w:tcPr>
            <w:tcW w:w="35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7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30224</w:t>
            </w:r>
          </w:p>
        </w:tc>
        <w:tc>
          <w:tcPr>
            <w:tcW w:w="15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被装购置费</w:t>
            </w:r>
          </w:p>
        </w:tc>
        <w:tc>
          <w:tcPr>
            <w:tcW w:w="317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361"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13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35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7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30226</w:t>
            </w:r>
          </w:p>
        </w:tc>
        <w:tc>
          <w:tcPr>
            <w:tcW w:w="15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劳务费</w:t>
            </w:r>
          </w:p>
        </w:tc>
        <w:tc>
          <w:tcPr>
            <w:tcW w:w="317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361"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13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35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7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30228</w:t>
            </w:r>
          </w:p>
        </w:tc>
        <w:tc>
          <w:tcPr>
            <w:tcW w:w="15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工会经费</w:t>
            </w:r>
          </w:p>
        </w:tc>
        <w:tc>
          <w:tcPr>
            <w:tcW w:w="317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13,752.00</w:t>
            </w:r>
          </w:p>
        </w:tc>
        <w:tc>
          <w:tcPr>
            <w:tcW w:w="1361"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13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13,752.00</w:t>
            </w:r>
          </w:p>
        </w:tc>
        <w:tc>
          <w:tcPr>
            <w:tcW w:w="35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7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30229</w:t>
            </w:r>
          </w:p>
        </w:tc>
        <w:tc>
          <w:tcPr>
            <w:tcW w:w="15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福利费</w:t>
            </w:r>
          </w:p>
        </w:tc>
        <w:tc>
          <w:tcPr>
            <w:tcW w:w="317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361"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13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35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7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30231</w:t>
            </w:r>
          </w:p>
        </w:tc>
        <w:tc>
          <w:tcPr>
            <w:tcW w:w="15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公务用车运行维护费</w:t>
            </w:r>
          </w:p>
        </w:tc>
        <w:tc>
          <w:tcPr>
            <w:tcW w:w="317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3,330.00</w:t>
            </w:r>
          </w:p>
        </w:tc>
        <w:tc>
          <w:tcPr>
            <w:tcW w:w="1361"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13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3,330.00</w:t>
            </w:r>
          </w:p>
        </w:tc>
        <w:tc>
          <w:tcPr>
            <w:tcW w:w="35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7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30299</w:t>
            </w:r>
          </w:p>
        </w:tc>
        <w:tc>
          <w:tcPr>
            <w:tcW w:w="15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其他商品和服务支出</w:t>
            </w:r>
          </w:p>
        </w:tc>
        <w:tc>
          <w:tcPr>
            <w:tcW w:w="317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24,109.30</w:t>
            </w:r>
          </w:p>
        </w:tc>
        <w:tc>
          <w:tcPr>
            <w:tcW w:w="1361"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13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24,109.30</w:t>
            </w:r>
          </w:p>
        </w:tc>
        <w:tc>
          <w:tcPr>
            <w:tcW w:w="35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7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303</w:t>
            </w:r>
          </w:p>
        </w:tc>
        <w:tc>
          <w:tcPr>
            <w:tcW w:w="15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对个人与家庭的补助</w:t>
            </w:r>
          </w:p>
        </w:tc>
        <w:tc>
          <w:tcPr>
            <w:tcW w:w="317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55,960.00</w:t>
            </w:r>
          </w:p>
        </w:tc>
        <w:tc>
          <w:tcPr>
            <w:tcW w:w="136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55,960.00</w:t>
            </w:r>
          </w:p>
        </w:tc>
        <w:tc>
          <w:tcPr>
            <w:tcW w:w="113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35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7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30302</w:t>
            </w:r>
          </w:p>
        </w:tc>
        <w:tc>
          <w:tcPr>
            <w:tcW w:w="15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退休费</w:t>
            </w:r>
          </w:p>
        </w:tc>
        <w:tc>
          <w:tcPr>
            <w:tcW w:w="317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61"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13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35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7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30303</w:t>
            </w:r>
          </w:p>
        </w:tc>
        <w:tc>
          <w:tcPr>
            <w:tcW w:w="15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退职（役）费</w:t>
            </w:r>
          </w:p>
        </w:tc>
        <w:tc>
          <w:tcPr>
            <w:tcW w:w="317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61"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13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35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7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30304</w:t>
            </w:r>
          </w:p>
        </w:tc>
        <w:tc>
          <w:tcPr>
            <w:tcW w:w="15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抚恤金</w:t>
            </w:r>
          </w:p>
        </w:tc>
        <w:tc>
          <w:tcPr>
            <w:tcW w:w="317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61"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13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35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7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30305</w:t>
            </w:r>
          </w:p>
        </w:tc>
        <w:tc>
          <w:tcPr>
            <w:tcW w:w="15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生活补助</w:t>
            </w:r>
          </w:p>
        </w:tc>
        <w:tc>
          <w:tcPr>
            <w:tcW w:w="317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55,960.00</w:t>
            </w:r>
          </w:p>
        </w:tc>
        <w:tc>
          <w:tcPr>
            <w:tcW w:w="136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55,960.00</w:t>
            </w:r>
          </w:p>
        </w:tc>
        <w:tc>
          <w:tcPr>
            <w:tcW w:w="113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35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7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30307</w:t>
            </w:r>
          </w:p>
        </w:tc>
        <w:tc>
          <w:tcPr>
            <w:tcW w:w="15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医疗费</w:t>
            </w:r>
          </w:p>
        </w:tc>
        <w:tc>
          <w:tcPr>
            <w:tcW w:w="317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61"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13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35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7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30308</w:t>
            </w:r>
          </w:p>
        </w:tc>
        <w:tc>
          <w:tcPr>
            <w:tcW w:w="15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助学金</w:t>
            </w:r>
          </w:p>
        </w:tc>
        <w:tc>
          <w:tcPr>
            <w:tcW w:w="317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61"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13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35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7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30309</w:t>
            </w:r>
          </w:p>
        </w:tc>
        <w:tc>
          <w:tcPr>
            <w:tcW w:w="15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奖励金</w:t>
            </w:r>
          </w:p>
        </w:tc>
        <w:tc>
          <w:tcPr>
            <w:tcW w:w="317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61"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13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35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7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30310</w:t>
            </w:r>
          </w:p>
        </w:tc>
        <w:tc>
          <w:tcPr>
            <w:tcW w:w="15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生产补贴</w:t>
            </w:r>
          </w:p>
        </w:tc>
        <w:tc>
          <w:tcPr>
            <w:tcW w:w="317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61"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13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35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7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30311</w:t>
            </w:r>
          </w:p>
        </w:tc>
        <w:tc>
          <w:tcPr>
            <w:tcW w:w="15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住房公积金</w:t>
            </w:r>
          </w:p>
        </w:tc>
        <w:tc>
          <w:tcPr>
            <w:tcW w:w="317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61"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13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35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7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30313</w:t>
            </w:r>
          </w:p>
        </w:tc>
        <w:tc>
          <w:tcPr>
            <w:tcW w:w="15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购房补贴</w:t>
            </w:r>
          </w:p>
        </w:tc>
        <w:tc>
          <w:tcPr>
            <w:tcW w:w="317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61"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13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35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7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30399</w:t>
            </w:r>
          </w:p>
        </w:tc>
        <w:tc>
          <w:tcPr>
            <w:tcW w:w="15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其他对个人与家庭的补助</w:t>
            </w:r>
          </w:p>
        </w:tc>
        <w:tc>
          <w:tcPr>
            <w:tcW w:w="317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361"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13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35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2298"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合计</w:t>
            </w:r>
          </w:p>
        </w:tc>
        <w:tc>
          <w:tcPr>
            <w:tcW w:w="317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 xml:space="preserve">2,059,854.00 </w:t>
            </w:r>
          </w:p>
        </w:tc>
        <w:tc>
          <w:tcPr>
            <w:tcW w:w="136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1,482,233.00</w:t>
            </w:r>
          </w:p>
        </w:tc>
        <w:tc>
          <w:tcPr>
            <w:tcW w:w="113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 xml:space="preserve">577,621.00 </w:t>
            </w:r>
          </w:p>
        </w:tc>
        <w:tc>
          <w:tcPr>
            <w:tcW w:w="354"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bl>
    <w:p/>
    <w:p/>
    <w:p/>
    <w:p/>
    <w:p/>
    <w:p/>
    <w:p/>
    <w:p/>
    <w:p/>
    <w:p/>
    <w:p/>
    <w:p/>
    <w:p/>
    <w:p/>
    <w:p/>
    <w:p/>
    <w:p/>
    <w:p/>
    <w:p/>
    <w:p/>
    <w:p/>
    <w:p/>
    <w:p/>
    <w:p/>
    <w:tbl>
      <w:tblPr>
        <w:tblStyle w:val="6"/>
        <w:tblW w:w="9321"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102"/>
        <w:gridCol w:w="387"/>
        <w:gridCol w:w="1103"/>
        <w:gridCol w:w="405"/>
        <w:gridCol w:w="958"/>
        <w:gridCol w:w="587"/>
        <w:gridCol w:w="725"/>
        <w:gridCol w:w="388"/>
        <w:gridCol w:w="1103"/>
        <w:gridCol w:w="348"/>
        <w:gridCol w:w="1015"/>
        <w:gridCol w:w="12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jc w:val="center"/>
        </w:trPr>
        <w:tc>
          <w:tcPr>
            <w:tcW w:w="1102" w:type="dxa"/>
            <w:shd w:val="clear" w:color="auto" w:fill="auto"/>
            <w:vAlign w:val="center"/>
          </w:tcPr>
          <w:p>
            <w:pPr>
              <w:keepNext w:val="0"/>
              <w:keepLines w:val="0"/>
              <w:widowControl/>
              <w:suppressLineNumbers w:val="0"/>
              <w:jc w:val="left"/>
              <w:textAlignment w:val="center"/>
              <w:rPr>
                <w:rFonts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表4</w:t>
            </w:r>
          </w:p>
        </w:tc>
        <w:tc>
          <w:tcPr>
            <w:tcW w:w="8219" w:type="dxa"/>
            <w:gridSpan w:val="11"/>
            <w:shd w:val="clear" w:color="auto" w:fill="auto"/>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color w:val="000000"/>
                <w:sz w:val="36"/>
                <w:szCs w:val="36"/>
                <w:u w:val="none"/>
              </w:rPr>
            </w:pPr>
            <w:r>
              <w:rPr>
                <w:rFonts w:hint="eastAsia" w:ascii="方正小标宋简体" w:hAnsi="方正小标宋简体" w:eastAsia="方正小标宋简体" w:cs="方正小标宋简体"/>
                <w:i w:val="0"/>
                <w:color w:val="000000"/>
                <w:kern w:val="0"/>
                <w:sz w:val="36"/>
                <w:szCs w:val="36"/>
                <w:u w:val="none"/>
                <w:lang w:val="en-US" w:eastAsia="zh-CN" w:bidi="ar"/>
              </w:rPr>
              <w:t>一般公共预算“三公”经费支出决算表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5" w:hRule="atLeast"/>
          <w:jc w:val="center"/>
        </w:trPr>
        <w:tc>
          <w:tcPr>
            <w:tcW w:w="1102" w:type="dxa"/>
            <w:shd w:val="clear" w:color="auto" w:fill="auto"/>
            <w:vAlign w:val="center"/>
          </w:tcPr>
          <w:p>
            <w:pPr>
              <w:rPr>
                <w:rFonts w:hint="eastAsia" w:ascii="宋体" w:hAnsi="宋体" w:eastAsia="宋体" w:cs="宋体"/>
                <w:i w:val="0"/>
                <w:color w:val="000000"/>
                <w:sz w:val="21"/>
                <w:szCs w:val="21"/>
                <w:u w:val="none"/>
              </w:rPr>
            </w:pPr>
          </w:p>
        </w:tc>
        <w:tc>
          <w:tcPr>
            <w:tcW w:w="387" w:type="dxa"/>
            <w:shd w:val="clear" w:color="auto" w:fill="auto"/>
            <w:vAlign w:val="center"/>
          </w:tcPr>
          <w:p>
            <w:pPr>
              <w:rPr>
                <w:rFonts w:hint="eastAsia" w:ascii="宋体" w:hAnsi="宋体" w:eastAsia="宋体" w:cs="宋体"/>
                <w:i w:val="0"/>
                <w:color w:val="000000"/>
                <w:sz w:val="22"/>
                <w:szCs w:val="22"/>
                <w:u w:val="none"/>
              </w:rPr>
            </w:pPr>
          </w:p>
        </w:tc>
        <w:tc>
          <w:tcPr>
            <w:tcW w:w="1103" w:type="dxa"/>
            <w:shd w:val="clear" w:color="auto" w:fill="auto"/>
            <w:vAlign w:val="center"/>
          </w:tcPr>
          <w:p>
            <w:pPr>
              <w:rPr>
                <w:rFonts w:hint="eastAsia" w:ascii="宋体" w:hAnsi="宋体" w:eastAsia="宋体" w:cs="宋体"/>
                <w:i w:val="0"/>
                <w:color w:val="000000"/>
                <w:sz w:val="22"/>
                <w:szCs w:val="22"/>
                <w:u w:val="none"/>
              </w:rPr>
            </w:pPr>
          </w:p>
        </w:tc>
        <w:tc>
          <w:tcPr>
            <w:tcW w:w="405" w:type="dxa"/>
            <w:shd w:val="clear" w:color="auto" w:fill="auto"/>
            <w:vAlign w:val="center"/>
          </w:tcPr>
          <w:p>
            <w:pPr>
              <w:rPr>
                <w:rFonts w:hint="eastAsia" w:ascii="宋体" w:hAnsi="宋体" w:eastAsia="宋体" w:cs="宋体"/>
                <w:i w:val="0"/>
                <w:color w:val="000000"/>
                <w:sz w:val="22"/>
                <w:szCs w:val="22"/>
                <w:u w:val="none"/>
              </w:rPr>
            </w:pPr>
          </w:p>
        </w:tc>
        <w:tc>
          <w:tcPr>
            <w:tcW w:w="958" w:type="dxa"/>
            <w:shd w:val="clear" w:color="auto" w:fill="auto"/>
            <w:vAlign w:val="center"/>
          </w:tcPr>
          <w:p>
            <w:pPr>
              <w:rPr>
                <w:rFonts w:hint="eastAsia" w:ascii="宋体" w:hAnsi="宋体" w:eastAsia="宋体" w:cs="宋体"/>
                <w:i w:val="0"/>
                <w:color w:val="000000"/>
                <w:sz w:val="22"/>
                <w:szCs w:val="22"/>
                <w:u w:val="none"/>
              </w:rPr>
            </w:pPr>
          </w:p>
        </w:tc>
        <w:tc>
          <w:tcPr>
            <w:tcW w:w="587" w:type="dxa"/>
            <w:shd w:val="clear" w:color="auto" w:fill="auto"/>
            <w:vAlign w:val="center"/>
          </w:tcPr>
          <w:p>
            <w:pPr>
              <w:rPr>
                <w:rFonts w:hint="eastAsia" w:ascii="宋体" w:hAnsi="宋体" w:eastAsia="宋体" w:cs="宋体"/>
                <w:i w:val="0"/>
                <w:color w:val="000000"/>
                <w:sz w:val="22"/>
                <w:szCs w:val="22"/>
                <w:u w:val="none"/>
              </w:rPr>
            </w:pPr>
          </w:p>
        </w:tc>
        <w:tc>
          <w:tcPr>
            <w:tcW w:w="725" w:type="dxa"/>
            <w:shd w:val="clear" w:color="auto" w:fill="auto"/>
            <w:vAlign w:val="center"/>
          </w:tcPr>
          <w:p>
            <w:pPr>
              <w:rPr>
                <w:rFonts w:hint="eastAsia" w:ascii="宋体" w:hAnsi="宋体" w:eastAsia="宋体" w:cs="宋体"/>
                <w:i w:val="0"/>
                <w:color w:val="000000"/>
                <w:sz w:val="22"/>
                <w:szCs w:val="22"/>
                <w:u w:val="none"/>
              </w:rPr>
            </w:pPr>
          </w:p>
        </w:tc>
        <w:tc>
          <w:tcPr>
            <w:tcW w:w="388" w:type="dxa"/>
            <w:shd w:val="clear" w:color="auto" w:fill="auto"/>
            <w:vAlign w:val="center"/>
          </w:tcPr>
          <w:p>
            <w:pPr>
              <w:rPr>
                <w:rFonts w:hint="eastAsia" w:ascii="宋体" w:hAnsi="宋体" w:eastAsia="宋体" w:cs="宋体"/>
                <w:i w:val="0"/>
                <w:color w:val="000000"/>
                <w:sz w:val="22"/>
                <w:szCs w:val="22"/>
                <w:u w:val="none"/>
              </w:rPr>
            </w:pPr>
          </w:p>
        </w:tc>
        <w:tc>
          <w:tcPr>
            <w:tcW w:w="1103" w:type="dxa"/>
            <w:shd w:val="clear" w:color="auto" w:fill="auto"/>
            <w:vAlign w:val="center"/>
          </w:tcPr>
          <w:p>
            <w:pPr>
              <w:rPr>
                <w:rFonts w:hint="eastAsia" w:ascii="宋体" w:hAnsi="宋体" w:eastAsia="宋体" w:cs="宋体"/>
                <w:i w:val="0"/>
                <w:color w:val="000000"/>
                <w:sz w:val="22"/>
                <w:szCs w:val="22"/>
                <w:u w:val="none"/>
              </w:rPr>
            </w:pPr>
          </w:p>
        </w:tc>
        <w:tc>
          <w:tcPr>
            <w:tcW w:w="348" w:type="dxa"/>
            <w:shd w:val="clear" w:color="auto" w:fill="auto"/>
            <w:vAlign w:val="center"/>
          </w:tcPr>
          <w:p>
            <w:pPr>
              <w:rPr>
                <w:rFonts w:hint="eastAsia" w:ascii="宋体" w:hAnsi="宋体" w:eastAsia="宋体" w:cs="宋体"/>
                <w:i w:val="0"/>
                <w:color w:val="000000"/>
                <w:sz w:val="22"/>
                <w:szCs w:val="22"/>
                <w:u w:val="none"/>
              </w:rPr>
            </w:pPr>
          </w:p>
        </w:tc>
        <w:tc>
          <w:tcPr>
            <w:tcW w:w="2215" w:type="dxa"/>
            <w:gridSpan w:val="2"/>
            <w:tcBorders>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5" w:hRule="atLeast"/>
          <w:jc w:val="center"/>
        </w:trPr>
        <w:tc>
          <w:tcPr>
            <w:tcW w:w="4542"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2016 年预算数</w:t>
            </w:r>
          </w:p>
        </w:tc>
        <w:tc>
          <w:tcPr>
            <w:tcW w:w="477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2016年决算数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5" w:hRule="atLeast"/>
          <w:jc w:val="center"/>
        </w:trPr>
        <w:tc>
          <w:tcPr>
            <w:tcW w:w="110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合计</w:t>
            </w:r>
          </w:p>
        </w:tc>
        <w:tc>
          <w:tcPr>
            <w:tcW w:w="3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因公出国(境)费</w:t>
            </w:r>
          </w:p>
        </w:tc>
        <w:tc>
          <w:tcPr>
            <w:tcW w:w="24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公务用车购置及运行费</w:t>
            </w:r>
          </w:p>
        </w:tc>
        <w:tc>
          <w:tcPr>
            <w:tcW w:w="5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公务接待费</w:t>
            </w:r>
          </w:p>
        </w:tc>
        <w:tc>
          <w:tcPr>
            <w:tcW w:w="7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合计</w:t>
            </w:r>
          </w:p>
        </w:tc>
        <w:tc>
          <w:tcPr>
            <w:tcW w:w="38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因公出国(境)费</w:t>
            </w:r>
          </w:p>
        </w:tc>
        <w:tc>
          <w:tcPr>
            <w:tcW w:w="24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公务用车购置及运行费</w:t>
            </w:r>
          </w:p>
        </w:tc>
        <w:tc>
          <w:tcPr>
            <w:tcW w:w="12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5" w:hRule="atLeast"/>
          <w:jc w:val="center"/>
        </w:trPr>
        <w:tc>
          <w:tcPr>
            <w:tcW w:w="11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3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小计</w:t>
            </w: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公务用车购置费</w:t>
            </w:r>
          </w:p>
        </w:tc>
        <w:tc>
          <w:tcPr>
            <w:tcW w:w="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公务用车运行费</w:t>
            </w: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3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小计</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公务用车购置费</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公务用车运行费</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5" w:hRule="atLeast"/>
          <w:jc w:val="center"/>
        </w:trPr>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18,252.00 </w:t>
            </w:r>
          </w:p>
        </w:tc>
        <w:tc>
          <w:tcPr>
            <w:tcW w:w="3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3,330.00 </w:t>
            </w: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95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lang w:val="en-US" w:eastAsia="zh-CN" w:bidi="ar"/>
              </w:rPr>
              <w:t>3,330.00</w:t>
            </w: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14,922.00</w:t>
            </w:r>
          </w:p>
        </w:tc>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18,252.00 </w:t>
            </w:r>
          </w:p>
        </w:tc>
        <w:tc>
          <w:tcPr>
            <w:tcW w:w="3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3330.00 </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0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lang w:val="en-US" w:eastAsia="zh-CN" w:bidi="ar"/>
              </w:rPr>
              <w:t>3,330.00</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14,922.00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5" w:hRule="atLeast"/>
          <w:jc w:val="center"/>
        </w:trPr>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3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95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3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5" w:hRule="atLeast"/>
          <w:jc w:val="center"/>
        </w:trPr>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3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95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3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5" w:hRule="atLeast"/>
          <w:jc w:val="center"/>
        </w:trPr>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3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95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3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5" w:hRule="atLeast"/>
          <w:jc w:val="center"/>
        </w:trPr>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3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95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3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bl>
    <w:p/>
    <w:p/>
    <w:p/>
    <w:p/>
    <w:p/>
    <w:p/>
    <w:p/>
    <w:p/>
    <w:tbl>
      <w:tblPr>
        <w:tblStyle w:val="6"/>
        <w:tblW w:w="8330"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509"/>
        <w:gridCol w:w="1487"/>
        <w:gridCol w:w="1321"/>
        <w:gridCol w:w="1417"/>
        <w:gridCol w:w="1180"/>
        <w:gridCol w:w="14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80" w:hRule="atLeast"/>
          <w:jc w:val="center"/>
        </w:trPr>
        <w:tc>
          <w:tcPr>
            <w:tcW w:w="8330" w:type="dxa"/>
            <w:gridSpan w:val="6"/>
            <w:shd w:val="clear" w:color="auto" w:fill="auto"/>
            <w:vAlign w:val="center"/>
          </w:tcPr>
          <w:p>
            <w:pPr>
              <w:keepNext w:val="0"/>
              <w:keepLines w:val="0"/>
              <w:widowControl/>
              <w:suppressLineNumbers w:val="0"/>
              <w:jc w:val="left"/>
              <w:textAlignment w:val="center"/>
              <w:rPr>
                <w:rFonts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表5</w:t>
            </w:r>
          </w:p>
          <w:p>
            <w:pPr>
              <w:jc w:val="center"/>
              <w:rPr>
                <w:rFonts w:hint="eastAsia" w:ascii="方正小标宋简体" w:hAnsi="方正小标宋简体" w:eastAsia="方正小标宋简体" w:cs="方正小标宋简体"/>
                <w:i w:val="0"/>
                <w:color w:val="000000"/>
                <w:sz w:val="36"/>
                <w:szCs w:val="36"/>
                <w:u w:val="none"/>
              </w:rPr>
            </w:pPr>
            <w:r>
              <w:rPr>
                <w:rFonts w:hint="eastAsia" w:ascii="方正小标宋简体" w:hAnsi="方正小标宋简体" w:eastAsia="方正小标宋简体" w:cs="方正小标宋简体"/>
                <w:i w:val="0"/>
                <w:color w:val="000000"/>
                <w:kern w:val="0"/>
                <w:sz w:val="36"/>
                <w:szCs w:val="36"/>
                <w:u w:val="none"/>
                <w:lang w:val="en-US" w:eastAsia="zh-CN" w:bidi="ar"/>
              </w:rPr>
              <w:t>政府性基金支出决算表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jc w:val="center"/>
        </w:trPr>
        <w:tc>
          <w:tcPr>
            <w:tcW w:w="1509" w:type="dxa"/>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填报单位：XXX（部门）                                             </w:t>
            </w:r>
          </w:p>
        </w:tc>
        <w:tc>
          <w:tcPr>
            <w:tcW w:w="1487" w:type="dxa"/>
            <w:shd w:val="clear" w:color="auto" w:fill="auto"/>
            <w:vAlign w:val="center"/>
          </w:tcPr>
          <w:p>
            <w:pPr>
              <w:rPr>
                <w:rFonts w:hint="eastAsia" w:ascii="宋体" w:hAnsi="宋体" w:eastAsia="宋体" w:cs="宋体"/>
                <w:i w:val="0"/>
                <w:color w:val="000000"/>
                <w:sz w:val="22"/>
                <w:szCs w:val="22"/>
                <w:u w:val="none"/>
              </w:rPr>
            </w:pPr>
          </w:p>
        </w:tc>
        <w:tc>
          <w:tcPr>
            <w:tcW w:w="1321" w:type="dxa"/>
            <w:shd w:val="clear" w:color="auto" w:fill="auto"/>
            <w:vAlign w:val="center"/>
          </w:tcPr>
          <w:p>
            <w:pPr>
              <w:rPr>
                <w:rFonts w:hint="eastAsia" w:ascii="宋体" w:hAnsi="宋体" w:eastAsia="宋体" w:cs="宋体"/>
                <w:i w:val="0"/>
                <w:color w:val="000000"/>
                <w:sz w:val="22"/>
                <w:szCs w:val="22"/>
                <w:u w:val="none"/>
              </w:rPr>
            </w:pPr>
          </w:p>
        </w:tc>
        <w:tc>
          <w:tcPr>
            <w:tcW w:w="1417" w:type="dxa"/>
            <w:shd w:val="clear" w:color="auto" w:fill="auto"/>
            <w:vAlign w:val="center"/>
          </w:tcPr>
          <w:p>
            <w:pPr>
              <w:rPr>
                <w:rFonts w:hint="eastAsia" w:ascii="宋体" w:hAnsi="宋体" w:eastAsia="宋体" w:cs="宋体"/>
                <w:i w:val="0"/>
                <w:color w:val="000000"/>
                <w:sz w:val="22"/>
                <w:szCs w:val="22"/>
                <w:u w:val="none"/>
              </w:rPr>
            </w:pPr>
          </w:p>
        </w:tc>
        <w:tc>
          <w:tcPr>
            <w:tcW w:w="2596" w:type="dxa"/>
            <w:gridSpan w:val="2"/>
            <w:tcBorders>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15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科目编码</w:t>
            </w:r>
          </w:p>
        </w:tc>
        <w:tc>
          <w:tcPr>
            <w:tcW w:w="14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科目名称　</w:t>
            </w:r>
          </w:p>
        </w:tc>
        <w:tc>
          <w:tcPr>
            <w:tcW w:w="13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单位代码　</w:t>
            </w:r>
          </w:p>
        </w:tc>
        <w:tc>
          <w:tcPr>
            <w:tcW w:w="401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本年政府性基金预算财政拨款支出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15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3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合计</w:t>
            </w: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基本支出</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29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合计</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bl>
    <w:p/>
    <w:p/>
    <w:p/>
    <w:p/>
    <w:tbl>
      <w:tblPr>
        <w:tblW w:w="833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2310"/>
        <w:gridCol w:w="2606"/>
        <w:gridCol w:w="2064"/>
        <w:gridCol w:w="13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80" w:hRule="atLeast"/>
        </w:trPr>
        <w:tc>
          <w:tcPr>
            <w:tcW w:w="8330" w:type="dxa"/>
            <w:gridSpan w:val="4"/>
            <w:shd w:val="clear"/>
            <w:vAlign w:val="center"/>
          </w:tcPr>
          <w:p>
            <w:pPr>
              <w:keepNext w:val="0"/>
              <w:keepLines w:val="0"/>
              <w:widowControl/>
              <w:suppressLineNumbers w:val="0"/>
              <w:jc w:val="left"/>
              <w:textAlignment w:val="center"/>
              <w:rPr>
                <w:rFonts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表6</w:t>
            </w:r>
          </w:p>
          <w:p>
            <w:pPr>
              <w:jc w:val="center"/>
              <w:rPr>
                <w:rFonts w:hint="eastAsia" w:ascii="方正小标宋简体" w:hAnsi="方正小标宋简体" w:eastAsia="方正小标宋简体" w:cs="方正小标宋简体"/>
                <w:i w:val="0"/>
                <w:color w:val="000000"/>
                <w:sz w:val="36"/>
                <w:szCs w:val="36"/>
                <w:u w:val="none"/>
              </w:rPr>
            </w:pPr>
            <w:r>
              <w:rPr>
                <w:rFonts w:hint="eastAsia" w:ascii="方正小标宋简体" w:hAnsi="方正小标宋简体" w:eastAsia="方正小标宋简体" w:cs="方正小标宋简体"/>
                <w:i w:val="0"/>
                <w:color w:val="000000"/>
                <w:kern w:val="0"/>
                <w:sz w:val="36"/>
                <w:szCs w:val="36"/>
                <w:u w:val="none"/>
                <w:lang w:val="en-US" w:eastAsia="zh-CN" w:bidi="ar"/>
              </w:rPr>
              <w:t>部门收支决算总表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2310" w:type="dxa"/>
            <w:shd w:val="clear"/>
            <w:vAlign w:val="center"/>
          </w:tcPr>
          <w:p>
            <w:pPr>
              <w:jc w:val="left"/>
              <w:rPr>
                <w:rFonts w:hint="eastAsia" w:ascii="宋体" w:hAnsi="宋体" w:eastAsia="宋体" w:cs="宋体"/>
                <w:i w:val="0"/>
                <w:color w:val="000000"/>
                <w:sz w:val="21"/>
                <w:szCs w:val="21"/>
                <w:u w:val="none"/>
              </w:rPr>
            </w:pPr>
          </w:p>
        </w:tc>
        <w:tc>
          <w:tcPr>
            <w:tcW w:w="2606" w:type="dxa"/>
            <w:shd w:val="clear"/>
            <w:vAlign w:val="center"/>
          </w:tcPr>
          <w:p>
            <w:pPr>
              <w:rPr>
                <w:rFonts w:hint="eastAsia" w:ascii="宋体" w:hAnsi="宋体" w:eastAsia="宋体" w:cs="宋体"/>
                <w:i w:val="0"/>
                <w:color w:val="000000"/>
                <w:sz w:val="22"/>
                <w:szCs w:val="22"/>
                <w:u w:val="none"/>
              </w:rPr>
            </w:pPr>
          </w:p>
        </w:tc>
        <w:tc>
          <w:tcPr>
            <w:tcW w:w="2064" w:type="dxa"/>
            <w:shd w:val="clear"/>
            <w:vAlign w:val="center"/>
          </w:tcPr>
          <w:p>
            <w:pPr>
              <w:rPr>
                <w:rFonts w:hint="eastAsia" w:ascii="宋体" w:hAnsi="宋体" w:eastAsia="宋体" w:cs="宋体"/>
                <w:i w:val="0"/>
                <w:color w:val="000000"/>
                <w:sz w:val="22"/>
                <w:szCs w:val="22"/>
                <w:u w:val="none"/>
              </w:rPr>
            </w:pPr>
          </w:p>
        </w:tc>
        <w:tc>
          <w:tcPr>
            <w:tcW w:w="1350" w:type="dxa"/>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4916"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收入</w:t>
            </w:r>
          </w:p>
        </w:tc>
        <w:tc>
          <w:tcPr>
            <w:tcW w:w="3414"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w:t>
            </w:r>
          </w:p>
        </w:tc>
        <w:tc>
          <w:tcPr>
            <w:tcW w:w="2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决算数</w:t>
            </w:r>
          </w:p>
        </w:tc>
        <w:tc>
          <w:tcPr>
            <w:tcW w:w="20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一、一般公共预算拨款收入</w:t>
            </w:r>
          </w:p>
        </w:tc>
        <w:tc>
          <w:tcPr>
            <w:tcW w:w="2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3,720,416.50</w:t>
            </w:r>
          </w:p>
        </w:tc>
        <w:tc>
          <w:tcPr>
            <w:tcW w:w="20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一、一般公共服务支出</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3,120,416.50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二、政府性基金预算拨款收入</w:t>
            </w:r>
          </w:p>
        </w:tc>
        <w:tc>
          <w:tcPr>
            <w:tcW w:w="260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20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十五、商业服务业等支出</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三、事业收入</w:t>
            </w:r>
          </w:p>
        </w:tc>
        <w:tc>
          <w:tcPr>
            <w:tcW w:w="260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2064" w:type="dxa"/>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color w:val="000000"/>
                <w:sz w:val="22"/>
                <w:szCs w:val="22"/>
                <w:u w:val="none"/>
              </w:rPr>
            </w:pP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四、事业单位经营收入</w:t>
            </w:r>
          </w:p>
        </w:tc>
        <w:tc>
          <w:tcPr>
            <w:tcW w:w="260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2064" w:type="dxa"/>
            <w:tcBorders>
              <w:top w:val="single" w:color="3F3F3F" w:sz="4" w:space="0"/>
              <w:left w:val="single" w:color="3F3F3F" w:sz="4" w:space="0"/>
              <w:bottom w:val="single" w:color="3F3F3F" w:sz="4" w:space="0"/>
              <w:right w:val="single" w:color="3F3F3F" w:sz="4" w:space="0"/>
            </w:tcBorders>
            <w:shd w:val="clear" w:color="auto" w:fill="F2F2F2"/>
            <w:vAlign w:val="center"/>
          </w:tcPr>
          <w:p>
            <w:pPr>
              <w:jc w:val="both"/>
              <w:rPr>
                <w:rFonts w:hint="eastAsia" w:ascii="宋体" w:hAnsi="宋体" w:eastAsia="宋体" w:cs="宋体"/>
                <w:b/>
                <w:i w:val="0"/>
                <w:color w:val="3F3F3F"/>
                <w:sz w:val="22"/>
                <w:szCs w:val="22"/>
                <w:u w:val="none"/>
              </w:rPr>
            </w:pP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五、其他收入</w:t>
            </w:r>
          </w:p>
        </w:tc>
        <w:tc>
          <w:tcPr>
            <w:tcW w:w="260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2064" w:type="dxa"/>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color w:val="000000"/>
                <w:sz w:val="21"/>
                <w:szCs w:val="21"/>
                <w:u w:val="none"/>
              </w:rPr>
            </w:pP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260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206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260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206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本年收入合计</w:t>
            </w:r>
          </w:p>
        </w:tc>
        <w:tc>
          <w:tcPr>
            <w:tcW w:w="2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3,720,416.50</w:t>
            </w:r>
          </w:p>
        </w:tc>
        <w:tc>
          <w:tcPr>
            <w:tcW w:w="20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本年支出合计</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3,720,416.50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用事业基金弥补收支差额</w:t>
            </w:r>
          </w:p>
        </w:tc>
        <w:tc>
          <w:tcPr>
            <w:tcW w:w="260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206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上年结转</w:t>
            </w:r>
          </w:p>
        </w:tc>
        <w:tc>
          <w:tcPr>
            <w:tcW w:w="2606" w:type="dxa"/>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color w:val="000000"/>
                <w:sz w:val="21"/>
                <w:szCs w:val="21"/>
                <w:u w:val="none"/>
              </w:rPr>
            </w:pPr>
          </w:p>
        </w:tc>
        <w:tc>
          <w:tcPr>
            <w:tcW w:w="20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结转下年</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260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206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260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206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收 入 总 计</w:t>
            </w:r>
          </w:p>
        </w:tc>
        <w:tc>
          <w:tcPr>
            <w:tcW w:w="2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3,720,416.50 </w:t>
            </w:r>
          </w:p>
        </w:tc>
        <w:tc>
          <w:tcPr>
            <w:tcW w:w="20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支 出 总 计</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3,720,416.50 </w:t>
            </w:r>
          </w:p>
        </w:tc>
      </w:tr>
    </w:tbl>
    <w:p/>
    <w:p/>
    <w:p/>
    <w:p/>
    <w:p/>
    <w:p/>
    <w:p/>
    <w:p/>
    <w:p/>
    <w:tbl>
      <w:tblPr>
        <w:tblW w:w="833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786"/>
        <w:gridCol w:w="1014"/>
        <w:gridCol w:w="1343"/>
        <w:gridCol w:w="384"/>
        <w:gridCol w:w="1238"/>
        <w:gridCol w:w="674"/>
        <w:gridCol w:w="364"/>
        <w:gridCol w:w="530"/>
        <w:gridCol w:w="447"/>
        <w:gridCol w:w="530"/>
        <w:gridCol w:w="364"/>
        <w:gridCol w:w="6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86" w:hRule="atLeast"/>
        </w:trPr>
        <w:tc>
          <w:tcPr>
            <w:tcW w:w="8330" w:type="dxa"/>
            <w:gridSpan w:val="12"/>
            <w:shd w:val="clear"/>
            <w:vAlign w:val="center"/>
          </w:tcPr>
          <w:p>
            <w:pPr>
              <w:keepNext w:val="0"/>
              <w:keepLines w:val="0"/>
              <w:widowControl/>
              <w:suppressLineNumbers w:val="0"/>
              <w:jc w:val="left"/>
              <w:textAlignment w:val="center"/>
              <w:rPr>
                <w:rFonts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表7</w:t>
            </w:r>
          </w:p>
          <w:p>
            <w:pPr>
              <w:jc w:val="center"/>
              <w:rPr>
                <w:rFonts w:hint="eastAsia" w:ascii="方正小标宋简体" w:hAnsi="方正小标宋简体" w:eastAsia="方正小标宋简体" w:cs="方正小标宋简体"/>
                <w:i w:val="0"/>
                <w:color w:val="000000"/>
                <w:sz w:val="36"/>
                <w:szCs w:val="36"/>
                <w:u w:val="none"/>
              </w:rPr>
            </w:pPr>
            <w:r>
              <w:rPr>
                <w:rFonts w:hint="eastAsia" w:ascii="方正小标宋简体" w:hAnsi="方正小标宋简体" w:eastAsia="方正小标宋简体" w:cs="方正小标宋简体"/>
                <w:i w:val="0"/>
                <w:color w:val="000000"/>
                <w:kern w:val="0"/>
                <w:sz w:val="36"/>
                <w:szCs w:val="36"/>
                <w:u w:val="none"/>
                <w:lang w:val="en-US" w:eastAsia="zh-CN" w:bidi="ar"/>
              </w:rPr>
              <w:t>部门收入决算总表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86" w:type="dxa"/>
            <w:shd w:val="clear"/>
            <w:vAlign w:val="center"/>
          </w:tcPr>
          <w:p>
            <w:pPr>
              <w:keepNext w:val="0"/>
              <w:keepLines w:val="0"/>
              <w:widowControl/>
              <w:suppressLineNumbers w:val="0"/>
              <w:jc w:val="both"/>
              <w:textAlignment w:val="center"/>
              <w:rPr>
                <w:rFonts w:hint="eastAsia" w:ascii="宋体" w:hAnsi="宋体" w:eastAsia="宋体" w:cs="宋体"/>
                <w:i w:val="0"/>
                <w:color w:val="000000"/>
                <w:sz w:val="32"/>
                <w:szCs w:val="32"/>
                <w:u w:val="none"/>
              </w:rPr>
            </w:pPr>
            <w:r>
              <w:rPr>
                <w:rFonts w:hint="eastAsia" w:ascii="宋体" w:hAnsi="宋体" w:eastAsia="宋体" w:cs="宋体"/>
                <w:i w:val="0"/>
                <w:color w:val="000000"/>
                <w:kern w:val="0"/>
                <w:sz w:val="32"/>
                <w:szCs w:val="32"/>
                <w:u w:val="none"/>
                <w:lang w:val="en-US" w:eastAsia="zh-CN" w:bidi="ar"/>
              </w:rPr>
              <w:t xml:space="preserve">                     </w:t>
            </w:r>
          </w:p>
        </w:tc>
        <w:tc>
          <w:tcPr>
            <w:tcW w:w="1014" w:type="dxa"/>
            <w:shd w:val="clear"/>
            <w:vAlign w:val="center"/>
          </w:tcPr>
          <w:p>
            <w:pPr>
              <w:rPr>
                <w:rFonts w:hint="eastAsia" w:ascii="宋体" w:hAnsi="宋体" w:eastAsia="宋体" w:cs="宋体"/>
                <w:i w:val="0"/>
                <w:color w:val="000000"/>
                <w:sz w:val="22"/>
                <w:szCs w:val="22"/>
                <w:u w:val="none"/>
              </w:rPr>
            </w:pPr>
          </w:p>
        </w:tc>
        <w:tc>
          <w:tcPr>
            <w:tcW w:w="1343" w:type="dxa"/>
            <w:shd w:val="clear"/>
            <w:vAlign w:val="center"/>
          </w:tcPr>
          <w:p>
            <w:pPr>
              <w:rPr>
                <w:rFonts w:hint="eastAsia" w:ascii="宋体" w:hAnsi="宋体" w:eastAsia="宋体" w:cs="宋体"/>
                <w:i w:val="0"/>
                <w:color w:val="000000"/>
                <w:sz w:val="22"/>
                <w:szCs w:val="22"/>
                <w:u w:val="none"/>
              </w:rPr>
            </w:pPr>
          </w:p>
        </w:tc>
        <w:tc>
          <w:tcPr>
            <w:tcW w:w="384" w:type="dxa"/>
            <w:shd w:val="clear"/>
            <w:vAlign w:val="center"/>
          </w:tcPr>
          <w:p>
            <w:pPr>
              <w:rPr>
                <w:rFonts w:hint="eastAsia" w:ascii="宋体" w:hAnsi="宋体" w:eastAsia="宋体" w:cs="宋体"/>
                <w:i w:val="0"/>
                <w:color w:val="000000"/>
                <w:sz w:val="22"/>
                <w:szCs w:val="22"/>
                <w:u w:val="none"/>
              </w:rPr>
            </w:pPr>
          </w:p>
        </w:tc>
        <w:tc>
          <w:tcPr>
            <w:tcW w:w="1238" w:type="dxa"/>
            <w:shd w:val="clear"/>
            <w:vAlign w:val="center"/>
          </w:tcPr>
          <w:p>
            <w:pPr>
              <w:rPr>
                <w:rFonts w:hint="eastAsia" w:ascii="宋体" w:hAnsi="宋体" w:eastAsia="宋体" w:cs="宋体"/>
                <w:i w:val="0"/>
                <w:color w:val="000000"/>
                <w:sz w:val="22"/>
                <w:szCs w:val="22"/>
                <w:u w:val="none"/>
              </w:rPr>
            </w:pPr>
          </w:p>
        </w:tc>
        <w:tc>
          <w:tcPr>
            <w:tcW w:w="674" w:type="dxa"/>
            <w:shd w:val="clear"/>
            <w:vAlign w:val="center"/>
          </w:tcPr>
          <w:p>
            <w:pPr>
              <w:rPr>
                <w:rFonts w:hint="eastAsia" w:ascii="宋体" w:hAnsi="宋体" w:eastAsia="宋体" w:cs="宋体"/>
                <w:i w:val="0"/>
                <w:color w:val="000000"/>
                <w:sz w:val="22"/>
                <w:szCs w:val="22"/>
                <w:u w:val="none"/>
              </w:rPr>
            </w:pPr>
          </w:p>
        </w:tc>
        <w:tc>
          <w:tcPr>
            <w:tcW w:w="364" w:type="dxa"/>
            <w:shd w:val="clear"/>
            <w:vAlign w:val="center"/>
          </w:tcPr>
          <w:p>
            <w:pPr>
              <w:rPr>
                <w:rFonts w:hint="eastAsia" w:ascii="宋体" w:hAnsi="宋体" w:eastAsia="宋体" w:cs="宋体"/>
                <w:i w:val="0"/>
                <w:color w:val="000000"/>
                <w:sz w:val="22"/>
                <w:szCs w:val="22"/>
                <w:u w:val="none"/>
              </w:rPr>
            </w:pPr>
          </w:p>
        </w:tc>
        <w:tc>
          <w:tcPr>
            <w:tcW w:w="530" w:type="dxa"/>
            <w:shd w:val="clear"/>
            <w:vAlign w:val="center"/>
          </w:tcPr>
          <w:p>
            <w:pPr>
              <w:rPr>
                <w:rFonts w:hint="eastAsia" w:ascii="宋体" w:hAnsi="宋体" w:eastAsia="宋体" w:cs="宋体"/>
                <w:i w:val="0"/>
                <w:color w:val="000000"/>
                <w:sz w:val="22"/>
                <w:szCs w:val="22"/>
                <w:u w:val="none"/>
              </w:rPr>
            </w:pPr>
          </w:p>
        </w:tc>
        <w:tc>
          <w:tcPr>
            <w:tcW w:w="447" w:type="dxa"/>
            <w:shd w:val="clear"/>
            <w:vAlign w:val="center"/>
          </w:tcPr>
          <w:p>
            <w:pPr>
              <w:rPr>
                <w:rFonts w:hint="eastAsia" w:ascii="宋体" w:hAnsi="宋体" w:eastAsia="宋体" w:cs="宋体"/>
                <w:i w:val="0"/>
                <w:color w:val="000000"/>
                <w:sz w:val="22"/>
                <w:szCs w:val="22"/>
                <w:u w:val="none"/>
              </w:rPr>
            </w:pPr>
          </w:p>
        </w:tc>
        <w:tc>
          <w:tcPr>
            <w:tcW w:w="530" w:type="dxa"/>
            <w:shd w:val="clear"/>
            <w:vAlign w:val="center"/>
          </w:tcPr>
          <w:p>
            <w:pPr>
              <w:rPr>
                <w:rFonts w:hint="eastAsia" w:ascii="宋体" w:hAnsi="宋体" w:eastAsia="宋体" w:cs="宋体"/>
                <w:i w:val="0"/>
                <w:color w:val="000000"/>
                <w:sz w:val="22"/>
                <w:szCs w:val="22"/>
                <w:u w:val="none"/>
              </w:rPr>
            </w:pPr>
          </w:p>
        </w:tc>
        <w:tc>
          <w:tcPr>
            <w:tcW w:w="1020" w:type="dxa"/>
            <w:gridSpan w:val="2"/>
            <w:tcBorders>
              <w:bottom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25" w:hRule="atLeast"/>
        </w:trPr>
        <w:tc>
          <w:tcPr>
            <w:tcW w:w="180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科目</w:t>
            </w:r>
          </w:p>
        </w:tc>
        <w:tc>
          <w:tcPr>
            <w:tcW w:w="134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合计</w:t>
            </w:r>
          </w:p>
        </w:tc>
        <w:tc>
          <w:tcPr>
            <w:tcW w:w="3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上年结转</w:t>
            </w:r>
          </w:p>
        </w:tc>
        <w:tc>
          <w:tcPr>
            <w:tcW w:w="123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一般公共预算拨款收入</w:t>
            </w:r>
          </w:p>
        </w:tc>
        <w:tc>
          <w:tcPr>
            <w:tcW w:w="6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政府性基金预算拨款收入</w:t>
            </w:r>
          </w:p>
        </w:tc>
        <w:tc>
          <w:tcPr>
            <w:tcW w:w="3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事业收入</w:t>
            </w:r>
          </w:p>
        </w:tc>
        <w:tc>
          <w:tcPr>
            <w:tcW w:w="5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事业单位经营收入</w:t>
            </w:r>
          </w:p>
        </w:tc>
        <w:tc>
          <w:tcPr>
            <w:tcW w:w="4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上级补助收入</w:t>
            </w:r>
          </w:p>
        </w:tc>
        <w:tc>
          <w:tcPr>
            <w:tcW w:w="5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下级单位上缴收入</w:t>
            </w:r>
          </w:p>
        </w:tc>
        <w:tc>
          <w:tcPr>
            <w:tcW w:w="3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其他收入</w:t>
            </w:r>
          </w:p>
        </w:tc>
        <w:tc>
          <w:tcPr>
            <w:tcW w:w="65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用事业基金弥补收支差额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8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科目编码</w:t>
            </w:r>
          </w:p>
        </w:tc>
        <w:tc>
          <w:tcPr>
            <w:tcW w:w="10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科目名称</w:t>
            </w:r>
          </w:p>
        </w:tc>
        <w:tc>
          <w:tcPr>
            <w:tcW w:w="1343"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384"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1238"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674"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364"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53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47"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53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364"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656"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8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w:t>
            </w:r>
          </w:p>
        </w:tc>
        <w:tc>
          <w:tcPr>
            <w:tcW w:w="10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一般公共服务支出</w:t>
            </w:r>
          </w:p>
        </w:tc>
        <w:tc>
          <w:tcPr>
            <w:tcW w:w="134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3,120,416.50</w:t>
            </w:r>
          </w:p>
        </w:tc>
        <w:tc>
          <w:tcPr>
            <w:tcW w:w="38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23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3,120,416.50</w:t>
            </w:r>
          </w:p>
        </w:tc>
        <w:tc>
          <w:tcPr>
            <w:tcW w:w="674"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364"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53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47"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53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364"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656"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8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20113</w:t>
            </w:r>
          </w:p>
        </w:tc>
        <w:tc>
          <w:tcPr>
            <w:tcW w:w="10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商贸事务</w:t>
            </w:r>
          </w:p>
        </w:tc>
        <w:tc>
          <w:tcPr>
            <w:tcW w:w="134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3,120,416.50</w:t>
            </w:r>
          </w:p>
        </w:tc>
        <w:tc>
          <w:tcPr>
            <w:tcW w:w="38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23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3,120,416.50</w:t>
            </w:r>
          </w:p>
        </w:tc>
        <w:tc>
          <w:tcPr>
            <w:tcW w:w="674"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364"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53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47"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53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364"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656"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8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2011301</w:t>
            </w:r>
          </w:p>
        </w:tc>
        <w:tc>
          <w:tcPr>
            <w:tcW w:w="10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行政运行</w:t>
            </w:r>
          </w:p>
        </w:tc>
        <w:tc>
          <w:tcPr>
            <w:tcW w:w="134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935,289.00</w:t>
            </w:r>
          </w:p>
        </w:tc>
        <w:tc>
          <w:tcPr>
            <w:tcW w:w="38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23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935,289.00</w:t>
            </w:r>
          </w:p>
        </w:tc>
        <w:tc>
          <w:tcPr>
            <w:tcW w:w="674"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364"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53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47"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53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364"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656"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8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2011399</w:t>
            </w:r>
          </w:p>
        </w:tc>
        <w:tc>
          <w:tcPr>
            <w:tcW w:w="10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其他商贸事务支出</w:t>
            </w:r>
          </w:p>
        </w:tc>
        <w:tc>
          <w:tcPr>
            <w:tcW w:w="134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2,185,127.50</w:t>
            </w:r>
          </w:p>
        </w:tc>
        <w:tc>
          <w:tcPr>
            <w:tcW w:w="38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23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2,185,127.50</w:t>
            </w:r>
          </w:p>
        </w:tc>
        <w:tc>
          <w:tcPr>
            <w:tcW w:w="67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364"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53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47"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53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364"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656"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8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216</w:t>
            </w:r>
          </w:p>
        </w:tc>
        <w:tc>
          <w:tcPr>
            <w:tcW w:w="10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商业服务业等支出</w:t>
            </w:r>
          </w:p>
        </w:tc>
        <w:tc>
          <w:tcPr>
            <w:tcW w:w="134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600,000.00</w:t>
            </w:r>
          </w:p>
        </w:tc>
        <w:tc>
          <w:tcPr>
            <w:tcW w:w="38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23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600,000.00</w:t>
            </w:r>
          </w:p>
        </w:tc>
        <w:tc>
          <w:tcPr>
            <w:tcW w:w="67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364"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53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47"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53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364"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656"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8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21602</w:t>
            </w:r>
          </w:p>
        </w:tc>
        <w:tc>
          <w:tcPr>
            <w:tcW w:w="10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商业流通事务</w:t>
            </w:r>
          </w:p>
        </w:tc>
        <w:tc>
          <w:tcPr>
            <w:tcW w:w="134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600,000.00</w:t>
            </w:r>
          </w:p>
        </w:tc>
        <w:tc>
          <w:tcPr>
            <w:tcW w:w="38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23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600,000.00</w:t>
            </w:r>
          </w:p>
        </w:tc>
        <w:tc>
          <w:tcPr>
            <w:tcW w:w="674"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364"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53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47"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53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364"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656"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8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2160299</w:t>
            </w:r>
          </w:p>
        </w:tc>
        <w:tc>
          <w:tcPr>
            <w:tcW w:w="10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其他商业流通事务支出</w:t>
            </w:r>
          </w:p>
        </w:tc>
        <w:tc>
          <w:tcPr>
            <w:tcW w:w="134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600,000.00</w:t>
            </w:r>
          </w:p>
        </w:tc>
        <w:tc>
          <w:tcPr>
            <w:tcW w:w="38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23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600,000.00</w:t>
            </w:r>
          </w:p>
        </w:tc>
        <w:tc>
          <w:tcPr>
            <w:tcW w:w="674"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364"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53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47"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53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364"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656"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80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合 计</w:t>
            </w:r>
          </w:p>
        </w:tc>
        <w:tc>
          <w:tcPr>
            <w:tcW w:w="134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3,720,416.50</w:t>
            </w:r>
          </w:p>
        </w:tc>
        <w:tc>
          <w:tcPr>
            <w:tcW w:w="38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23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3,720,416.50</w:t>
            </w:r>
          </w:p>
        </w:tc>
        <w:tc>
          <w:tcPr>
            <w:tcW w:w="67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364"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53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47"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53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364"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656"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bl>
    <w:p/>
    <w:p/>
    <w:p/>
    <w:p/>
    <w:p/>
    <w:p/>
    <w:p/>
    <w:p/>
    <w:p/>
    <w:tbl>
      <w:tblPr>
        <w:tblW w:w="833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817"/>
        <w:gridCol w:w="1272"/>
        <w:gridCol w:w="1290"/>
        <w:gridCol w:w="1290"/>
        <w:gridCol w:w="1290"/>
        <w:gridCol w:w="756"/>
        <w:gridCol w:w="962"/>
        <w:gridCol w:w="6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540" w:hRule="atLeast"/>
        </w:trPr>
        <w:tc>
          <w:tcPr>
            <w:tcW w:w="817" w:type="dxa"/>
            <w:shd w:val="clear"/>
            <w:vAlign w:val="center"/>
          </w:tcPr>
          <w:p>
            <w:pPr>
              <w:keepNext w:val="0"/>
              <w:keepLines w:val="0"/>
              <w:widowControl/>
              <w:suppressLineNumbers w:val="0"/>
              <w:jc w:val="left"/>
              <w:textAlignment w:val="center"/>
              <w:rPr>
                <w:rFonts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表8</w:t>
            </w:r>
          </w:p>
        </w:tc>
        <w:tc>
          <w:tcPr>
            <w:tcW w:w="7513" w:type="dxa"/>
            <w:gridSpan w:val="7"/>
            <w:shd w:val="clear"/>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color w:val="000000"/>
                <w:sz w:val="36"/>
                <w:szCs w:val="36"/>
                <w:u w:val="none"/>
              </w:rPr>
            </w:pPr>
            <w:r>
              <w:rPr>
                <w:rFonts w:hint="eastAsia" w:ascii="方正小标宋简体" w:hAnsi="方正小标宋简体" w:eastAsia="方正小标宋简体" w:cs="方正小标宋简体"/>
                <w:i w:val="0"/>
                <w:color w:val="000000"/>
                <w:kern w:val="0"/>
                <w:sz w:val="36"/>
                <w:szCs w:val="36"/>
                <w:u w:val="none"/>
                <w:lang w:val="en-US" w:eastAsia="zh-CN" w:bidi="ar"/>
              </w:rPr>
              <w:t>部门支出决算总表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05" w:hRule="atLeast"/>
        </w:trPr>
        <w:tc>
          <w:tcPr>
            <w:tcW w:w="817" w:type="dxa"/>
            <w:shd w:val="clear"/>
            <w:vAlign w:val="center"/>
          </w:tcPr>
          <w:p>
            <w:pPr>
              <w:jc w:val="left"/>
              <w:rPr>
                <w:rFonts w:hint="eastAsia" w:ascii="宋体" w:hAnsi="宋体" w:eastAsia="宋体" w:cs="宋体"/>
                <w:i w:val="0"/>
                <w:color w:val="000000"/>
                <w:sz w:val="21"/>
                <w:szCs w:val="21"/>
                <w:u w:val="none"/>
              </w:rPr>
            </w:pPr>
          </w:p>
        </w:tc>
        <w:tc>
          <w:tcPr>
            <w:tcW w:w="1272" w:type="dxa"/>
            <w:shd w:val="clear"/>
            <w:vAlign w:val="center"/>
          </w:tcPr>
          <w:p>
            <w:pPr>
              <w:rPr>
                <w:rFonts w:hint="eastAsia" w:ascii="宋体" w:hAnsi="宋体" w:eastAsia="宋体" w:cs="宋体"/>
                <w:i w:val="0"/>
                <w:color w:val="000000"/>
                <w:sz w:val="22"/>
                <w:szCs w:val="22"/>
                <w:u w:val="none"/>
              </w:rPr>
            </w:pPr>
          </w:p>
        </w:tc>
        <w:tc>
          <w:tcPr>
            <w:tcW w:w="1290" w:type="dxa"/>
            <w:shd w:val="clear"/>
            <w:vAlign w:val="center"/>
          </w:tcPr>
          <w:p>
            <w:pPr>
              <w:rPr>
                <w:rFonts w:hint="eastAsia" w:ascii="宋体" w:hAnsi="宋体" w:eastAsia="宋体" w:cs="宋体"/>
                <w:i w:val="0"/>
                <w:color w:val="000000"/>
                <w:sz w:val="22"/>
                <w:szCs w:val="22"/>
                <w:u w:val="none"/>
              </w:rPr>
            </w:pPr>
          </w:p>
        </w:tc>
        <w:tc>
          <w:tcPr>
            <w:tcW w:w="1290" w:type="dxa"/>
            <w:shd w:val="clear"/>
            <w:vAlign w:val="center"/>
          </w:tcPr>
          <w:p>
            <w:pPr>
              <w:rPr>
                <w:rFonts w:hint="eastAsia" w:ascii="宋体" w:hAnsi="宋体" w:eastAsia="宋体" w:cs="宋体"/>
                <w:i w:val="0"/>
                <w:color w:val="000000"/>
                <w:sz w:val="22"/>
                <w:szCs w:val="22"/>
                <w:u w:val="none"/>
              </w:rPr>
            </w:pPr>
          </w:p>
        </w:tc>
        <w:tc>
          <w:tcPr>
            <w:tcW w:w="1290" w:type="dxa"/>
            <w:shd w:val="clear"/>
            <w:vAlign w:val="center"/>
          </w:tcPr>
          <w:p>
            <w:pPr>
              <w:rPr>
                <w:rFonts w:hint="eastAsia" w:ascii="宋体" w:hAnsi="宋体" w:eastAsia="宋体" w:cs="宋体"/>
                <w:i w:val="0"/>
                <w:color w:val="000000"/>
                <w:sz w:val="22"/>
                <w:szCs w:val="22"/>
                <w:u w:val="none"/>
              </w:rPr>
            </w:pPr>
          </w:p>
        </w:tc>
        <w:tc>
          <w:tcPr>
            <w:tcW w:w="756" w:type="dxa"/>
            <w:shd w:val="clear"/>
            <w:vAlign w:val="center"/>
          </w:tcPr>
          <w:p>
            <w:pPr>
              <w:rPr>
                <w:rFonts w:hint="eastAsia" w:ascii="宋体" w:hAnsi="宋体" w:eastAsia="宋体" w:cs="宋体"/>
                <w:i w:val="0"/>
                <w:color w:val="000000"/>
                <w:sz w:val="22"/>
                <w:szCs w:val="22"/>
                <w:u w:val="none"/>
              </w:rPr>
            </w:pPr>
          </w:p>
        </w:tc>
        <w:tc>
          <w:tcPr>
            <w:tcW w:w="1615" w:type="dxa"/>
            <w:gridSpan w:val="2"/>
            <w:tcBorders>
              <w:bottom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15" w:hRule="atLeast"/>
        </w:trPr>
        <w:tc>
          <w:tcPr>
            <w:tcW w:w="2089"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科目</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合计</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基本支出</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项目支出</w:t>
            </w:r>
          </w:p>
        </w:tc>
        <w:tc>
          <w:tcPr>
            <w:tcW w:w="75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上缴上级支出</w:t>
            </w:r>
          </w:p>
        </w:tc>
        <w:tc>
          <w:tcPr>
            <w:tcW w:w="9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事业单位经营支出</w:t>
            </w:r>
          </w:p>
        </w:tc>
        <w:tc>
          <w:tcPr>
            <w:tcW w:w="6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对下级单位</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5" w:hRule="atLeast"/>
        </w:trPr>
        <w:tc>
          <w:tcPr>
            <w:tcW w:w="8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科目编码</w:t>
            </w:r>
          </w:p>
        </w:tc>
        <w:tc>
          <w:tcPr>
            <w:tcW w:w="12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科目名称</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756"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962"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653"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5" w:hRule="atLeast"/>
        </w:trPr>
        <w:tc>
          <w:tcPr>
            <w:tcW w:w="8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w:t>
            </w:r>
          </w:p>
        </w:tc>
        <w:tc>
          <w:tcPr>
            <w:tcW w:w="12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一般公共服务支出</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3,120,416.50</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2,059,854.00</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1,060,562.50</w:t>
            </w:r>
          </w:p>
        </w:tc>
        <w:tc>
          <w:tcPr>
            <w:tcW w:w="756"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962"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653"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5" w:hRule="atLeast"/>
        </w:trPr>
        <w:tc>
          <w:tcPr>
            <w:tcW w:w="8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20113</w:t>
            </w:r>
          </w:p>
        </w:tc>
        <w:tc>
          <w:tcPr>
            <w:tcW w:w="12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商贸事务</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3,120,416.50</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2,059,854.00</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1,060,562.50</w:t>
            </w:r>
          </w:p>
        </w:tc>
        <w:tc>
          <w:tcPr>
            <w:tcW w:w="756"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962"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653"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5" w:hRule="atLeast"/>
        </w:trPr>
        <w:tc>
          <w:tcPr>
            <w:tcW w:w="8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2011301</w:t>
            </w:r>
          </w:p>
        </w:tc>
        <w:tc>
          <w:tcPr>
            <w:tcW w:w="12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行政运行</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935,289.00</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935,289.00</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756"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962"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653"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5" w:hRule="atLeast"/>
        </w:trPr>
        <w:tc>
          <w:tcPr>
            <w:tcW w:w="8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2011399</w:t>
            </w:r>
          </w:p>
        </w:tc>
        <w:tc>
          <w:tcPr>
            <w:tcW w:w="12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其他商贸事务支出</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2,185,127.50</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1,124,565.00</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1,060,562.50</w:t>
            </w:r>
          </w:p>
        </w:tc>
        <w:tc>
          <w:tcPr>
            <w:tcW w:w="756"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962"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653"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85" w:hRule="atLeast"/>
        </w:trPr>
        <w:tc>
          <w:tcPr>
            <w:tcW w:w="8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216</w:t>
            </w:r>
          </w:p>
        </w:tc>
        <w:tc>
          <w:tcPr>
            <w:tcW w:w="12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商业服务业等支出</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600,000.00</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600,000.00</w:t>
            </w:r>
          </w:p>
        </w:tc>
        <w:tc>
          <w:tcPr>
            <w:tcW w:w="756"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962"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653"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5" w:hRule="atLeast"/>
        </w:trPr>
        <w:tc>
          <w:tcPr>
            <w:tcW w:w="8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21602</w:t>
            </w:r>
          </w:p>
        </w:tc>
        <w:tc>
          <w:tcPr>
            <w:tcW w:w="12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商业流通事务</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600,000.00</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600,000.00</w:t>
            </w:r>
          </w:p>
        </w:tc>
        <w:tc>
          <w:tcPr>
            <w:tcW w:w="756"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962"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653"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5" w:hRule="atLeast"/>
        </w:trPr>
        <w:tc>
          <w:tcPr>
            <w:tcW w:w="8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2160299</w:t>
            </w:r>
          </w:p>
        </w:tc>
        <w:tc>
          <w:tcPr>
            <w:tcW w:w="12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其他商业流通事务支出</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600,000.00</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600,000.00</w:t>
            </w:r>
          </w:p>
        </w:tc>
        <w:tc>
          <w:tcPr>
            <w:tcW w:w="756"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962"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653"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5" w:hRule="atLeast"/>
        </w:trPr>
        <w:tc>
          <w:tcPr>
            <w:tcW w:w="2089"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合 计</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3,720,416.50</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2,059,854.00</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1,660,562.50</w:t>
            </w:r>
          </w:p>
        </w:tc>
        <w:tc>
          <w:tcPr>
            <w:tcW w:w="756"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962"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653"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bl>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jc w:val="center"/>
        <w:rPr>
          <w:rFonts w:ascii="方正小标宋简体" w:hAnsi="方正小标宋简体" w:eastAsia="方正小标宋简体" w:cs="方正小标宋简体"/>
          <w:sz w:val="84"/>
          <w:szCs w:val="84"/>
        </w:rPr>
      </w:pPr>
      <w:r>
        <w:rPr>
          <w:rFonts w:hint="eastAsia" w:ascii="方正小标宋简体" w:hAnsi="方正小标宋简体" w:eastAsia="方正小标宋简体" w:cs="方正小标宋简体"/>
          <w:sz w:val="84"/>
          <w:szCs w:val="84"/>
        </w:rPr>
        <w:t>第三部分</w:t>
      </w:r>
    </w:p>
    <w:p/>
    <w:p/>
    <w:p>
      <w:pPr>
        <w:jc w:val="center"/>
        <w:rPr>
          <w:rFonts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56"/>
          <w:szCs w:val="56"/>
          <w:lang w:eastAsia="zh-CN"/>
        </w:rPr>
        <w:t>乃东区商务局</w:t>
      </w:r>
      <w:r>
        <w:rPr>
          <w:rFonts w:hint="eastAsia" w:ascii="方正小标宋简体" w:hAnsi="方正小标宋简体" w:eastAsia="方正小标宋简体" w:cs="方正小标宋简体"/>
          <w:sz w:val="56"/>
          <w:szCs w:val="56"/>
          <w:lang w:val="en-US" w:eastAsia="zh-CN"/>
        </w:rPr>
        <w:t>2016</w:t>
      </w:r>
      <w:r>
        <w:rPr>
          <w:rFonts w:hint="eastAsia" w:ascii="方正小标宋简体" w:hAnsi="方正小标宋简体" w:eastAsia="方正小标宋简体" w:cs="方正小标宋简体"/>
          <w:sz w:val="56"/>
          <w:szCs w:val="56"/>
        </w:rPr>
        <w:t>年部门预算数据分析</w:t>
      </w:r>
    </w:p>
    <w:p>
      <w:pPr>
        <w:jc w:val="center"/>
        <w:rPr>
          <w:rFonts w:ascii="方正小标宋简体" w:hAnsi="方正小标宋简体" w:eastAsia="方正小标宋简体" w:cs="方正小标宋简体"/>
          <w:sz w:val="72"/>
          <w:szCs w:val="72"/>
        </w:rPr>
      </w:pPr>
    </w:p>
    <w:p>
      <w:pPr>
        <w:rPr>
          <w:rFonts w:ascii="仿宋_GB2312" w:hAnsi="仿宋_GB2312" w:eastAsia="仿宋_GB2312" w:cs="仿宋_GB2312"/>
          <w:sz w:val="84"/>
          <w:szCs w:val="84"/>
        </w:rPr>
      </w:pPr>
    </w:p>
    <w:p>
      <w:pPr>
        <w:rPr>
          <w:rFonts w:ascii="仿宋_GB2312" w:hAnsi="仿宋_GB2312" w:eastAsia="仿宋_GB2312" w:cs="仿宋_GB2312"/>
          <w:sz w:val="84"/>
          <w:szCs w:val="84"/>
        </w:rPr>
      </w:pPr>
    </w:p>
    <w:p>
      <w:pPr>
        <w:pStyle w:val="4"/>
        <w:shd w:val="clear" w:color="auto" w:fill="FFFFFF"/>
        <w:spacing w:before="0" w:beforeAutospacing="0" w:after="0" w:afterAutospacing="0"/>
        <w:ind w:firstLine="640" w:firstLineChars="20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一、2016年度财政拨款收支决算总体情况说明</w:t>
      </w:r>
    </w:p>
    <w:p>
      <w:pPr>
        <w:pStyle w:val="4"/>
        <w:shd w:val="clear" w:color="auto" w:fill="FFFFFF"/>
        <w:spacing w:before="0" w:beforeAutospacing="0" w:after="0" w:afterAutospacing="0"/>
        <w:ind w:firstLine="640" w:firstLineChars="20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2016年度财政预算拨款</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3720416.5</w:t>
      </w:r>
      <w:r>
        <w:rPr>
          <w:rFonts w:hint="eastAsia" w:ascii="仿宋_GB2312" w:hAnsi="仿宋_GB2312" w:eastAsia="仿宋_GB2312" w:cs="仿宋_GB2312"/>
          <w:color w:val="000000" w:themeColor="text1"/>
          <w:sz w:val="32"/>
          <w:szCs w:val="26"/>
          <w14:textFill>
            <w14:solidFill>
              <w14:schemeClr w14:val="tx1"/>
            </w14:solidFill>
          </w14:textFill>
        </w:rPr>
        <w:t>元。</w:t>
      </w:r>
      <w:r>
        <w:rPr>
          <w:rFonts w:hint="eastAsia" w:ascii="仿宋_GB2312" w:hAnsi="仿宋_GB2312" w:eastAsia="仿宋_GB2312" w:cs="仿宋_GB2312"/>
          <w:color w:val="000000" w:themeColor="text1"/>
          <w:sz w:val="32"/>
          <w:szCs w:val="32"/>
          <w14:textFill>
            <w14:solidFill>
              <w14:schemeClr w14:val="tx1"/>
            </w14:solidFill>
          </w14:textFill>
        </w:rPr>
        <w:t>收入全部为一般公共预算拨款，无政府性基金预算拨款</w:t>
      </w:r>
      <w:r>
        <w:rPr>
          <w:rFonts w:hint="eastAsia" w:ascii="仿宋_GB2312" w:hAnsi="仿宋_GB2312" w:eastAsia="仿宋_GB2312" w:cs="仿宋_GB2312"/>
          <w:color w:val="000000" w:themeColor="text1"/>
          <w:sz w:val="32"/>
          <w:szCs w:val="26"/>
          <w14:textFill>
            <w14:solidFill>
              <w14:schemeClr w14:val="tx1"/>
            </w14:solidFill>
          </w14:textFill>
        </w:rPr>
        <w:t>。本年实际支出</w:t>
      </w:r>
      <w:r>
        <w:rPr>
          <w:rFonts w:hint="eastAsia" w:ascii="仿宋_GB2312" w:hAnsi="仿宋_GB2312" w:eastAsia="仿宋_GB2312" w:cs="仿宋_GB2312"/>
          <w:color w:val="000000" w:themeColor="text1"/>
          <w:sz w:val="32"/>
          <w:szCs w:val="26"/>
          <w:lang w:eastAsia="zh-CN"/>
          <w14:textFill>
            <w14:solidFill>
              <w14:schemeClr w14:val="tx1"/>
            </w14:solidFill>
          </w14:textFill>
        </w:rPr>
        <w:t>3720416.5</w:t>
      </w:r>
      <w:r>
        <w:rPr>
          <w:rFonts w:hint="eastAsia" w:ascii="仿宋_GB2312" w:hAnsi="仿宋_GB2312" w:eastAsia="仿宋_GB2312" w:cs="仿宋_GB2312"/>
          <w:color w:val="000000" w:themeColor="text1"/>
          <w:sz w:val="32"/>
          <w:szCs w:val="26"/>
          <w14:textFill>
            <w14:solidFill>
              <w14:schemeClr w14:val="tx1"/>
            </w14:solidFill>
          </w14:textFill>
        </w:rPr>
        <w:t>元, 其中</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一般公共服务</w:t>
      </w:r>
      <w:r>
        <w:rPr>
          <w:rFonts w:hint="eastAsia" w:ascii="仿宋_GB2312" w:hAnsi="仿宋_GB2312" w:eastAsia="仿宋_GB2312" w:cs="仿宋_GB2312"/>
          <w:color w:val="000000" w:themeColor="text1"/>
          <w:sz w:val="32"/>
          <w:szCs w:val="26"/>
          <w14:textFill>
            <w14:solidFill>
              <w14:schemeClr w14:val="tx1"/>
            </w14:solidFill>
          </w14:textFill>
        </w:rPr>
        <w:t>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3120416.5</w:t>
      </w:r>
      <w:r>
        <w:rPr>
          <w:rFonts w:hint="eastAsia" w:ascii="仿宋_GB2312" w:hAnsi="仿宋_GB2312" w:eastAsia="仿宋_GB2312" w:cs="仿宋_GB2312"/>
          <w:color w:val="000000" w:themeColor="text1"/>
          <w:sz w:val="32"/>
          <w:szCs w:val="26"/>
          <w14:textFill>
            <w14:solidFill>
              <w14:schemeClr w14:val="tx1"/>
            </w14:solidFill>
          </w14:textFill>
        </w:rPr>
        <w:t>元</w:t>
      </w:r>
      <w:r>
        <w:rPr>
          <w:rFonts w:hint="eastAsia" w:ascii="仿宋_GB2312" w:hAnsi="仿宋_GB2312" w:eastAsia="仿宋_GB2312" w:cs="仿宋_GB2312"/>
          <w:color w:val="000000" w:themeColor="text1"/>
          <w:sz w:val="32"/>
          <w:szCs w:val="26"/>
          <w:lang w:eastAsia="zh-CN"/>
          <w14:textFill>
            <w14:solidFill>
              <w14:schemeClr w14:val="tx1"/>
            </w14:solidFill>
          </w14:textFill>
        </w:rPr>
        <w:t>，商业服务业等支出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600000元</w:t>
      </w:r>
      <w:r>
        <w:rPr>
          <w:rFonts w:hint="eastAsia" w:ascii="仿宋_GB2312" w:hAnsi="仿宋_GB2312" w:eastAsia="仿宋_GB2312" w:cs="仿宋_GB2312"/>
          <w:color w:val="000000" w:themeColor="text1"/>
          <w:sz w:val="32"/>
          <w:szCs w:val="26"/>
          <w14:textFill>
            <w14:solidFill>
              <w14:schemeClr w14:val="tx1"/>
            </w14:solidFill>
          </w14:textFill>
        </w:rPr>
        <w:t>。</w:t>
      </w:r>
    </w:p>
    <w:p>
      <w:pPr>
        <w:pStyle w:val="4"/>
        <w:shd w:val="clear" w:color="auto" w:fill="FFFFFF"/>
        <w:spacing w:before="0" w:beforeAutospacing="0" w:after="0" w:afterAutospacing="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　　二、2016年度一般公共预算当年财政拨款支出决算情况说明</w:t>
      </w:r>
    </w:p>
    <w:p>
      <w:pPr>
        <w:pStyle w:val="4"/>
        <w:shd w:val="clear" w:color="auto" w:fill="FFFFFF"/>
        <w:spacing w:before="0" w:beforeAutospacing="0" w:after="0" w:afterAutospacing="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　</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26"/>
          <w14:textFill>
            <w14:solidFill>
              <w14:schemeClr w14:val="tx1"/>
            </w14:solidFill>
          </w14:textFill>
        </w:rPr>
        <w:t>（一）一般公共预算当年财政拨款决算规模变化情况</w:t>
      </w:r>
    </w:p>
    <w:p>
      <w:pPr>
        <w:pStyle w:val="4"/>
        <w:shd w:val="clear" w:color="auto" w:fill="FFFFFF"/>
        <w:spacing w:before="0" w:beforeAutospacing="0" w:after="0" w:afterAutospacing="0"/>
        <w:ind w:firstLine="64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与上年决算数同口径比较</w:t>
      </w:r>
    </w:p>
    <w:p>
      <w:pPr>
        <w:pStyle w:val="4"/>
        <w:shd w:val="clear" w:color="auto" w:fill="FFFFFF"/>
        <w:spacing w:before="0" w:beforeAutospacing="0" w:after="0" w:afterAutospacing="0"/>
        <w:ind w:firstLine="640" w:firstLineChars="20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2016年一般公共预算当年财政拨款支出</w:t>
      </w:r>
      <w:r>
        <w:rPr>
          <w:rFonts w:hint="eastAsia" w:ascii="仿宋_GB2312" w:hAnsi="仿宋_GB2312" w:eastAsia="仿宋_GB2312" w:cs="仿宋_GB2312"/>
          <w:color w:val="000000" w:themeColor="text1"/>
          <w:sz w:val="32"/>
          <w:szCs w:val="26"/>
          <w:lang w:eastAsia="zh-CN"/>
          <w14:textFill>
            <w14:solidFill>
              <w14:schemeClr w14:val="tx1"/>
            </w14:solidFill>
          </w14:textFill>
        </w:rPr>
        <w:t>3720416.5</w:t>
      </w:r>
      <w:r>
        <w:rPr>
          <w:rFonts w:hint="eastAsia" w:ascii="仿宋_GB2312" w:hAnsi="仿宋_GB2312" w:eastAsia="仿宋_GB2312" w:cs="仿宋_GB2312"/>
          <w:color w:val="000000" w:themeColor="text1"/>
          <w:sz w:val="32"/>
          <w:szCs w:val="26"/>
          <w14:textFill>
            <w14:solidFill>
              <w14:schemeClr w14:val="tx1"/>
            </w14:solidFill>
          </w14:textFill>
        </w:rPr>
        <w:t>元</w:t>
      </w:r>
      <w:r>
        <w:rPr>
          <w:rFonts w:hint="eastAsia" w:ascii="仿宋_GB2312" w:hAnsi="仿宋_GB2312" w:eastAsia="仿宋_GB2312" w:cs="仿宋_GB2312"/>
          <w:color w:val="000000" w:themeColor="text1"/>
          <w:sz w:val="32"/>
          <w:szCs w:val="26"/>
          <w:lang w:eastAsia="zh-CN"/>
          <w14:textFill>
            <w14:solidFill>
              <w14:schemeClr w14:val="tx1"/>
            </w14:solidFill>
          </w14:textFill>
        </w:rPr>
        <w:t>，实际支出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3720416.5元，</w:t>
      </w:r>
      <w:r>
        <w:rPr>
          <w:rFonts w:hint="eastAsia" w:ascii="仿宋_GB2312" w:hAnsi="仿宋_GB2312" w:eastAsia="仿宋_GB2312" w:cs="仿宋_GB2312"/>
          <w:color w:val="000000" w:themeColor="text1"/>
          <w:sz w:val="32"/>
          <w:szCs w:val="26"/>
          <w14:textFill>
            <w14:solidFill>
              <w14:schemeClr w14:val="tx1"/>
            </w14:solidFill>
          </w14:textFill>
        </w:rPr>
        <w:t>上年一般公共预算财政拨款支出4073048元，比上年同期</w:t>
      </w:r>
      <w:r>
        <w:rPr>
          <w:rFonts w:hint="eastAsia" w:ascii="仿宋_GB2312" w:hAnsi="仿宋_GB2312" w:eastAsia="仿宋_GB2312" w:cs="仿宋_GB2312"/>
          <w:color w:val="000000" w:themeColor="text1"/>
          <w:sz w:val="32"/>
          <w:szCs w:val="26"/>
          <w:lang w:eastAsia="zh-CN"/>
          <w14:textFill>
            <w14:solidFill>
              <w14:schemeClr w14:val="tx1"/>
            </w14:solidFill>
          </w14:textFill>
        </w:rPr>
        <w:t>减少</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352631.5</w:t>
      </w:r>
      <w:r>
        <w:rPr>
          <w:rFonts w:hint="eastAsia" w:ascii="仿宋_GB2312" w:hAnsi="仿宋_GB2312" w:eastAsia="仿宋_GB2312" w:cs="仿宋_GB2312"/>
          <w:color w:val="000000" w:themeColor="text1"/>
          <w:sz w:val="32"/>
          <w:szCs w:val="26"/>
          <w14:textFill>
            <w14:solidFill>
              <w14:schemeClr w14:val="tx1"/>
            </w14:solidFill>
          </w14:textFill>
        </w:rPr>
        <w:t>元。</w:t>
      </w:r>
    </w:p>
    <w:p>
      <w:pPr>
        <w:pStyle w:val="4"/>
        <w:shd w:val="clear" w:color="auto" w:fill="FFFFFF"/>
        <w:spacing w:before="0" w:beforeAutospacing="0" w:after="0" w:afterAutospacing="0"/>
        <w:ind w:firstLine="640" w:firstLineChars="20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（二）一般公共预算当年财政拨款决算结构情况</w:t>
      </w:r>
    </w:p>
    <w:p>
      <w:pPr>
        <w:pStyle w:val="4"/>
        <w:shd w:val="clear" w:color="auto" w:fill="FFFFFF"/>
        <w:spacing w:before="0" w:beforeAutospacing="0" w:after="0" w:afterAutospacing="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　　一般公共预算当年财政拨款决算支出</w:t>
      </w:r>
      <w:r>
        <w:rPr>
          <w:rFonts w:hint="eastAsia" w:ascii="仿宋_GB2312" w:hAnsi="仿宋_GB2312" w:eastAsia="仿宋_GB2312" w:cs="仿宋_GB2312"/>
          <w:color w:val="000000" w:themeColor="text1"/>
          <w:sz w:val="32"/>
          <w:szCs w:val="26"/>
          <w:lang w:eastAsia="zh-CN"/>
          <w14:textFill>
            <w14:solidFill>
              <w14:schemeClr w14:val="tx1"/>
            </w14:solidFill>
          </w14:textFill>
        </w:rPr>
        <w:t>3720416.5</w:t>
      </w:r>
      <w:r>
        <w:rPr>
          <w:rFonts w:hint="eastAsia" w:ascii="仿宋_GB2312" w:hAnsi="仿宋_GB2312" w:eastAsia="仿宋_GB2312" w:cs="仿宋_GB2312"/>
          <w:color w:val="000000" w:themeColor="text1"/>
          <w:sz w:val="32"/>
          <w:szCs w:val="26"/>
          <w14:textFill>
            <w14:solidFill>
              <w14:schemeClr w14:val="tx1"/>
            </w14:solidFill>
          </w14:textFill>
        </w:rPr>
        <w:t>元。其中：</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一般公共服务</w:t>
      </w:r>
      <w:r>
        <w:rPr>
          <w:rFonts w:hint="eastAsia" w:ascii="仿宋_GB2312" w:hAnsi="仿宋_GB2312" w:eastAsia="仿宋_GB2312" w:cs="仿宋_GB2312"/>
          <w:color w:val="000000" w:themeColor="text1"/>
          <w:sz w:val="32"/>
          <w:szCs w:val="26"/>
          <w14:textFill>
            <w14:solidFill>
              <w14:schemeClr w14:val="tx1"/>
            </w14:solidFill>
          </w14:textFill>
        </w:rPr>
        <w:t>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3120416.5</w:t>
      </w:r>
      <w:r>
        <w:rPr>
          <w:rFonts w:hint="eastAsia" w:ascii="仿宋_GB2312" w:hAnsi="仿宋_GB2312" w:eastAsia="仿宋_GB2312" w:cs="仿宋_GB2312"/>
          <w:color w:val="000000" w:themeColor="text1"/>
          <w:sz w:val="32"/>
          <w:szCs w:val="26"/>
          <w14:textFill>
            <w14:solidFill>
              <w14:schemeClr w14:val="tx1"/>
            </w14:solidFill>
          </w14:textFill>
        </w:rPr>
        <w:t>元，占一般公共预算当年财政拨款决算支出的</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83.87</w:t>
      </w:r>
      <w:r>
        <w:rPr>
          <w:rFonts w:hint="eastAsia" w:ascii="仿宋_GB2312" w:hAnsi="仿宋_GB2312" w:eastAsia="仿宋_GB2312" w:cs="仿宋_GB2312"/>
          <w:color w:val="000000" w:themeColor="text1"/>
          <w:sz w:val="32"/>
          <w:szCs w:val="26"/>
          <w14:textFill>
            <w14:solidFill>
              <w14:schemeClr w14:val="tx1"/>
            </w14:solidFill>
          </w14:textFill>
        </w:rPr>
        <w:t>%</w:t>
      </w:r>
      <w:r>
        <w:rPr>
          <w:rFonts w:hint="eastAsia" w:ascii="仿宋_GB2312" w:hAnsi="仿宋_GB2312" w:eastAsia="仿宋_GB2312" w:cs="仿宋_GB2312"/>
          <w:color w:val="000000" w:themeColor="text1"/>
          <w:sz w:val="32"/>
          <w:szCs w:val="26"/>
          <w:lang w:eastAsia="zh-CN"/>
          <w14:textFill>
            <w14:solidFill>
              <w14:schemeClr w14:val="tx1"/>
            </w14:solidFill>
          </w14:textFill>
        </w:rPr>
        <w:t>；商业服务业等支出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600000元，</w:t>
      </w:r>
      <w:r>
        <w:rPr>
          <w:rFonts w:hint="eastAsia" w:ascii="仿宋_GB2312" w:hAnsi="仿宋_GB2312" w:eastAsia="仿宋_GB2312" w:cs="仿宋_GB2312"/>
          <w:color w:val="000000" w:themeColor="text1"/>
          <w:sz w:val="32"/>
          <w:szCs w:val="26"/>
          <w14:textFill>
            <w14:solidFill>
              <w14:schemeClr w14:val="tx1"/>
            </w14:solidFill>
          </w14:textFill>
        </w:rPr>
        <w:t>占一般公共预算当年财政拨款决算支出的</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16.13</w:t>
      </w:r>
      <w:r>
        <w:rPr>
          <w:rFonts w:hint="eastAsia" w:ascii="仿宋_GB2312" w:hAnsi="仿宋_GB2312" w:eastAsia="仿宋_GB2312" w:cs="仿宋_GB2312"/>
          <w:color w:val="000000" w:themeColor="text1"/>
          <w:sz w:val="32"/>
          <w:szCs w:val="26"/>
          <w14:textFill>
            <w14:solidFill>
              <w14:schemeClr w14:val="tx1"/>
            </w14:solidFill>
          </w14:textFill>
        </w:rPr>
        <w:t>%。</w:t>
      </w:r>
    </w:p>
    <w:p>
      <w:pPr>
        <w:pStyle w:val="4"/>
        <w:shd w:val="clear" w:color="auto" w:fill="FFFFFF"/>
        <w:spacing w:before="0" w:beforeAutospacing="0" w:after="0" w:afterAutospacing="0"/>
        <w:ind w:firstLine="64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（三）一般公共预算当年财政拨款决算具体使用情况</w:t>
      </w:r>
    </w:p>
    <w:p>
      <w:pPr>
        <w:pStyle w:val="4"/>
        <w:shd w:val="clear" w:color="auto" w:fill="FFFFFF"/>
        <w:spacing w:before="0" w:beforeAutospacing="0" w:after="0" w:afterAutospacing="0"/>
        <w:ind w:firstLine="64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一般公共服务</w:t>
      </w:r>
      <w:r>
        <w:rPr>
          <w:rFonts w:hint="eastAsia" w:ascii="仿宋_GB2312" w:hAnsi="仿宋_GB2312" w:eastAsia="仿宋_GB2312" w:cs="仿宋_GB2312"/>
          <w:color w:val="000000" w:themeColor="text1"/>
          <w:sz w:val="32"/>
          <w:szCs w:val="26"/>
          <w14:textFill>
            <w14:solidFill>
              <w14:schemeClr w14:val="tx1"/>
            </w14:solidFill>
          </w14:textFill>
        </w:rPr>
        <w:t>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3120416.5</w:t>
      </w:r>
      <w:r>
        <w:rPr>
          <w:rFonts w:hint="eastAsia" w:ascii="仿宋_GB2312" w:hAnsi="仿宋_GB2312" w:eastAsia="仿宋_GB2312" w:cs="仿宋_GB2312"/>
          <w:color w:val="000000" w:themeColor="text1"/>
          <w:sz w:val="32"/>
          <w:szCs w:val="26"/>
          <w14:textFill>
            <w14:solidFill>
              <w14:schemeClr w14:val="tx1"/>
            </w14:solidFill>
          </w14:textFill>
        </w:rPr>
        <w:t>元</w:t>
      </w:r>
    </w:p>
    <w:p>
      <w:pPr>
        <w:pStyle w:val="4"/>
        <w:shd w:val="clear" w:color="auto" w:fill="FFFFFF"/>
        <w:spacing w:before="0" w:beforeAutospacing="0" w:after="0" w:afterAutospacing="0"/>
        <w:ind w:firstLine="64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1、</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商贸事务3120416.5</w:t>
      </w:r>
      <w:r>
        <w:rPr>
          <w:rFonts w:hint="eastAsia" w:ascii="仿宋_GB2312" w:hAnsi="仿宋_GB2312" w:eastAsia="仿宋_GB2312" w:cs="仿宋_GB2312"/>
          <w:color w:val="000000" w:themeColor="text1"/>
          <w:sz w:val="32"/>
          <w:szCs w:val="26"/>
          <w14:textFill>
            <w14:solidFill>
              <w14:schemeClr w14:val="tx1"/>
            </w14:solidFill>
          </w14:textFill>
        </w:rPr>
        <w:t>元</w:t>
      </w:r>
    </w:p>
    <w:p>
      <w:pPr>
        <w:pStyle w:val="4"/>
        <w:shd w:val="clear" w:color="auto" w:fill="FFFFFF"/>
        <w:spacing w:before="0" w:beforeAutospacing="0" w:after="0" w:afterAutospacing="0"/>
        <w:ind w:firstLine="64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（1）行政运行支出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935289</w:t>
      </w:r>
      <w:r>
        <w:rPr>
          <w:rFonts w:hint="eastAsia" w:ascii="仿宋_GB2312" w:hAnsi="仿宋_GB2312" w:eastAsia="仿宋_GB2312" w:cs="仿宋_GB2312"/>
          <w:color w:val="000000" w:themeColor="text1"/>
          <w:sz w:val="32"/>
          <w:szCs w:val="26"/>
          <w14:textFill>
            <w14:solidFill>
              <w14:schemeClr w14:val="tx1"/>
            </w14:solidFill>
          </w14:textFill>
        </w:rPr>
        <w:t>元。其中工资福利支出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1426273</w:t>
      </w:r>
      <w:r>
        <w:rPr>
          <w:rFonts w:hint="eastAsia" w:ascii="仿宋_GB2312" w:hAnsi="仿宋_GB2312" w:eastAsia="仿宋_GB2312" w:cs="仿宋_GB2312"/>
          <w:color w:val="000000" w:themeColor="text1"/>
          <w:sz w:val="32"/>
          <w:szCs w:val="26"/>
          <w14:textFill>
            <w14:solidFill>
              <w14:schemeClr w14:val="tx1"/>
            </w14:solidFill>
          </w14:textFill>
        </w:rPr>
        <w:t>元，商品和服务支出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577621</w:t>
      </w:r>
      <w:r>
        <w:rPr>
          <w:rFonts w:hint="eastAsia" w:ascii="仿宋_GB2312" w:hAnsi="仿宋_GB2312" w:eastAsia="仿宋_GB2312" w:cs="仿宋_GB2312"/>
          <w:color w:val="000000" w:themeColor="text1"/>
          <w:sz w:val="32"/>
          <w:szCs w:val="26"/>
          <w14:textFill>
            <w14:solidFill>
              <w14:schemeClr w14:val="tx1"/>
            </w14:solidFill>
          </w14:textFill>
        </w:rPr>
        <w:t>元，对个人和家庭补助支出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55960</w:t>
      </w:r>
      <w:r>
        <w:rPr>
          <w:rFonts w:hint="eastAsia" w:ascii="仿宋_GB2312" w:hAnsi="仿宋_GB2312" w:eastAsia="仿宋_GB2312" w:cs="仿宋_GB2312"/>
          <w:color w:val="000000" w:themeColor="text1"/>
          <w:sz w:val="32"/>
          <w:szCs w:val="26"/>
          <w14:textFill>
            <w14:solidFill>
              <w14:schemeClr w14:val="tx1"/>
            </w14:solidFill>
          </w14:textFill>
        </w:rPr>
        <w:t>元。</w:t>
      </w:r>
    </w:p>
    <w:p>
      <w:pPr>
        <w:pStyle w:val="4"/>
        <w:shd w:val="clear" w:color="auto" w:fill="FFFFFF"/>
        <w:spacing w:before="0" w:beforeAutospacing="0" w:after="0" w:afterAutospacing="0"/>
        <w:ind w:firstLine="640"/>
        <w:rPr>
          <w:rFonts w:hint="eastAsia" w:ascii="仿宋_GB2312" w:hAnsi="仿宋_GB2312" w:eastAsia="仿宋_GB2312" w:cs="仿宋_GB2312"/>
          <w:color w:val="000000" w:themeColor="text1"/>
          <w:sz w:val="32"/>
          <w:szCs w:val="26"/>
          <w:lang w:val="en-US" w:eastAsia="zh-CN"/>
          <w14:textFill>
            <w14:solidFill>
              <w14:schemeClr w14:val="tx1"/>
            </w14:solidFill>
          </w14:textFill>
        </w:rPr>
      </w:pPr>
      <w:r>
        <w:rPr>
          <w:rFonts w:hint="eastAsia" w:ascii="仿宋_GB2312" w:hAnsi="仿宋_GB2312" w:eastAsia="仿宋_GB2312" w:cs="仿宋_GB2312"/>
          <w:color w:val="000000" w:themeColor="text1"/>
          <w:sz w:val="32"/>
          <w:szCs w:val="26"/>
          <w:lang w:eastAsia="zh-CN"/>
          <w14:textFill>
            <w14:solidFill>
              <w14:schemeClr w14:val="tx1"/>
            </w14:solidFill>
          </w14:textFill>
        </w:rPr>
        <w:t>（</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26"/>
          <w:lang w:eastAsia="zh-CN"/>
          <w14:textFill>
            <w14:solidFill>
              <w14:schemeClr w14:val="tx1"/>
            </w14:solidFill>
          </w14:textFill>
        </w:rPr>
        <w:t>）其他商贸事务支出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2185127.5元。</w:t>
      </w:r>
    </w:p>
    <w:p>
      <w:pPr>
        <w:pStyle w:val="4"/>
        <w:shd w:val="clear" w:color="auto" w:fill="FFFFFF"/>
        <w:spacing w:before="0" w:beforeAutospacing="0" w:after="0" w:afterAutospacing="0"/>
        <w:ind w:firstLine="640"/>
        <w:rPr>
          <w:rFonts w:hint="eastAsia" w:ascii="仿宋_GB2312" w:hAnsi="仿宋_GB2312" w:eastAsia="仿宋_GB2312" w:cs="仿宋_GB2312"/>
          <w:color w:val="000000" w:themeColor="text1"/>
          <w:sz w:val="32"/>
          <w:szCs w:val="26"/>
          <w:lang w:val="en-US" w:eastAsia="zh-CN"/>
          <w14:textFill>
            <w14:solidFill>
              <w14:schemeClr w14:val="tx1"/>
            </w14:solidFill>
          </w14:textFill>
        </w:rPr>
      </w:pP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商业服务业等支出600000元。</w:t>
      </w:r>
    </w:p>
    <w:p>
      <w:pPr>
        <w:pStyle w:val="4"/>
        <w:shd w:val="clear" w:color="auto" w:fill="FFFFFF"/>
        <w:spacing w:before="0" w:beforeAutospacing="0" w:after="0" w:afterAutospacing="0"/>
        <w:ind w:firstLine="640"/>
        <w:rPr>
          <w:rFonts w:hint="eastAsia" w:ascii="仿宋_GB2312" w:hAnsi="仿宋_GB2312" w:eastAsia="仿宋_GB2312" w:cs="仿宋_GB2312"/>
          <w:color w:val="000000" w:themeColor="text1"/>
          <w:sz w:val="32"/>
          <w:szCs w:val="26"/>
          <w:lang w:val="en-US" w:eastAsia="zh-CN"/>
          <w14:textFill>
            <w14:solidFill>
              <w14:schemeClr w14:val="tx1"/>
            </w14:solidFill>
          </w14:textFill>
        </w:rPr>
      </w:pP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1、商业流通事务600000元。</w:t>
      </w:r>
    </w:p>
    <w:p>
      <w:pPr>
        <w:pStyle w:val="4"/>
        <w:shd w:val="clear" w:color="auto" w:fill="FFFFFF"/>
        <w:spacing w:before="0" w:beforeAutospacing="0" w:after="0" w:afterAutospacing="0"/>
        <w:ind w:firstLine="640"/>
        <w:rPr>
          <w:rFonts w:hint="eastAsia" w:ascii="仿宋_GB2312" w:hAnsi="仿宋_GB2312" w:eastAsia="仿宋_GB2312" w:cs="仿宋_GB2312"/>
          <w:color w:val="000000" w:themeColor="text1"/>
          <w:sz w:val="32"/>
          <w:szCs w:val="26"/>
          <w:lang w:val="en-US" w:eastAsia="zh-CN"/>
          <w14:textFill>
            <w14:solidFill>
              <w14:schemeClr w14:val="tx1"/>
            </w14:solidFill>
          </w14:textFill>
        </w:rPr>
      </w:pP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（1）其他商业流通事务支出600000元。</w:t>
      </w:r>
    </w:p>
    <w:p>
      <w:pPr>
        <w:pStyle w:val="4"/>
        <w:shd w:val="clear" w:color="auto" w:fill="FFFFFF"/>
        <w:spacing w:before="0" w:beforeAutospacing="0" w:after="0" w:afterAutospacing="0"/>
        <w:ind w:firstLine="640" w:firstLineChars="20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三、2016年度一般公共预算基本支出决算情况说明</w:t>
      </w:r>
    </w:p>
    <w:p>
      <w:pPr>
        <w:pStyle w:val="4"/>
        <w:shd w:val="clear" w:color="auto" w:fill="FFFFFF"/>
        <w:spacing w:before="0" w:beforeAutospacing="0" w:after="0" w:afterAutospacing="0"/>
        <w:ind w:firstLine="64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2016年度一般公共预算基本支出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2059854</w:t>
      </w:r>
      <w:r>
        <w:rPr>
          <w:rFonts w:hint="eastAsia" w:ascii="仿宋_GB2312" w:hAnsi="仿宋_GB2312" w:eastAsia="仿宋_GB2312" w:cs="仿宋_GB2312"/>
          <w:color w:val="000000" w:themeColor="text1"/>
          <w:sz w:val="32"/>
          <w:szCs w:val="26"/>
          <w14:textFill>
            <w14:solidFill>
              <w14:schemeClr w14:val="tx1"/>
            </w14:solidFill>
          </w14:textFill>
        </w:rPr>
        <w:t>元。其中：工资福利支出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1426273</w:t>
      </w:r>
      <w:r>
        <w:rPr>
          <w:rFonts w:hint="eastAsia" w:ascii="仿宋_GB2312" w:hAnsi="仿宋_GB2312" w:eastAsia="仿宋_GB2312" w:cs="仿宋_GB2312"/>
          <w:color w:val="000000" w:themeColor="text1"/>
          <w:sz w:val="32"/>
          <w:szCs w:val="26"/>
          <w14:textFill>
            <w14:solidFill>
              <w14:schemeClr w14:val="tx1"/>
            </w14:solidFill>
          </w14:textFill>
        </w:rPr>
        <w:t>元，占一般公共预算基本支出的</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69.24</w:t>
      </w:r>
      <w:r>
        <w:rPr>
          <w:rFonts w:hint="eastAsia" w:ascii="仿宋_GB2312" w:hAnsi="仿宋_GB2312" w:eastAsia="仿宋_GB2312" w:cs="仿宋_GB2312"/>
          <w:color w:val="000000" w:themeColor="text1"/>
          <w:sz w:val="32"/>
          <w:szCs w:val="26"/>
          <w14:textFill>
            <w14:solidFill>
              <w14:schemeClr w14:val="tx1"/>
            </w14:solidFill>
          </w14:textFill>
        </w:rPr>
        <w:t>%。商品服务支出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577621</w:t>
      </w:r>
      <w:r>
        <w:rPr>
          <w:rFonts w:hint="eastAsia" w:ascii="仿宋_GB2312" w:hAnsi="仿宋_GB2312" w:eastAsia="仿宋_GB2312" w:cs="仿宋_GB2312"/>
          <w:color w:val="000000" w:themeColor="text1"/>
          <w:sz w:val="32"/>
          <w:szCs w:val="26"/>
          <w14:textFill>
            <w14:solidFill>
              <w14:schemeClr w14:val="tx1"/>
            </w14:solidFill>
          </w14:textFill>
        </w:rPr>
        <w:t>元，占一般公共预算基本支出的</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28.04</w:t>
      </w:r>
      <w:r>
        <w:rPr>
          <w:rFonts w:hint="eastAsia" w:ascii="仿宋_GB2312" w:hAnsi="仿宋_GB2312" w:eastAsia="仿宋_GB2312" w:cs="仿宋_GB2312"/>
          <w:color w:val="000000" w:themeColor="text1"/>
          <w:sz w:val="32"/>
          <w:szCs w:val="26"/>
          <w14:textFill>
            <w14:solidFill>
              <w14:schemeClr w14:val="tx1"/>
            </w14:solidFill>
          </w14:textFill>
        </w:rPr>
        <w:t>%，对个人和家庭补助支出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55960</w:t>
      </w:r>
      <w:r>
        <w:rPr>
          <w:rFonts w:hint="eastAsia" w:ascii="仿宋_GB2312" w:hAnsi="仿宋_GB2312" w:eastAsia="仿宋_GB2312" w:cs="仿宋_GB2312"/>
          <w:color w:val="000000" w:themeColor="text1"/>
          <w:sz w:val="32"/>
          <w:szCs w:val="26"/>
          <w14:textFill>
            <w14:solidFill>
              <w14:schemeClr w14:val="tx1"/>
            </w14:solidFill>
          </w14:textFill>
        </w:rPr>
        <w:t>元，占一般公共预算基本支出的</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2.72</w:t>
      </w:r>
      <w:r>
        <w:rPr>
          <w:rFonts w:hint="eastAsia" w:ascii="仿宋_GB2312" w:hAnsi="仿宋_GB2312" w:eastAsia="仿宋_GB2312" w:cs="仿宋_GB2312"/>
          <w:color w:val="000000" w:themeColor="text1"/>
          <w:sz w:val="32"/>
          <w:szCs w:val="26"/>
          <w14:textFill>
            <w14:solidFill>
              <w14:schemeClr w14:val="tx1"/>
            </w14:solidFill>
          </w14:textFill>
        </w:rPr>
        <w:t>%。</w:t>
      </w:r>
    </w:p>
    <w:p>
      <w:pPr>
        <w:pStyle w:val="4"/>
        <w:shd w:val="clear" w:color="auto" w:fill="FFFFFF"/>
        <w:spacing w:before="0" w:beforeAutospacing="0" w:after="0" w:afterAutospacing="0"/>
        <w:ind w:firstLine="640" w:firstLineChars="20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四、2016年“三公”经费决算情况说明</w:t>
      </w:r>
    </w:p>
    <w:p>
      <w:pPr>
        <w:pStyle w:val="4"/>
        <w:shd w:val="clear" w:color="auto" w:fill="FFFFFF"/>
        <w:spacing w:before="0" w:beforeAutospacing="0" w:after="0" w:afterAutospacing="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　　2016年三公经费决算支出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18252元，实际支出18252</w:t>
      </w:r>
      <w:r>
        <w:rPr>
          <w:rFonts w:hint="eastAsia" w:ascii="仿宋_GB2312" w:hAnsi="仿宋_GB2312" w:eastAsia="仿宋_GB2312" w:cs="仿宋_GB2312"/>
          <w:color w:val="000000" w:themeColor="text1"/>
          <w:sz w:val="32"/>
          <w:szCs w:val="26"/>
          <w14:textFill>
            <w14:solidFill>
              <w14:schemeClr w14:val="tx1"/>
            </w14:solidFill>
          </w14:textFill>
        </w:rPr>
        <w:t>元</w:t>
      </w:r>
      <w:r>
        <w:rPr>
          <w:rFonts w:hint="eastAsia" w:ascii="仿宋_GB2312" w:hAnsi="仿宋_GB2312" w:eastAsia="仿宋_GB2312" w:cs="仿宋_GB2312"/>
          <w:color w:val="000000" w:themeColor="text1"/>
          <w:sz w:val="32"/>
          <w:szCs w:val="26"/>
          <w:lang w:eastAsia="zh-CN"/>
          <w14:textFill>
            <w14:solidFill>
              <w14:schemeClr w14:val="tx1"/>
            </w14:solidFill>
          </w14:textFill>
        </w:rPr>
        <w:t>，</w:t>
      </w:r>
      <w:r>
        <w:rPr>
          <w:rFonts w:hint="eastAsia" w:ascii="仿宋_GB2312" w:hAnsi="仿宋_GB2312" w:eastAsia="仿宋_GB2312" w:cs="仿宋_GB2312"/>
          <w:color w:val="000000" w:themeColor="text1"/>
          <w:sz w:val="32"/>
          <w:szCs w:val="26"/>
          <w14:textFill>
            <w14:solidFill>
              <w14:schemeClr w14:val="tx1"/>
            </w14:solidFill>
          </w14:textFill>
        </w:rPr>
        <w:t>2015年</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三公经费决算支出148597元，同比减少130345元</w:t>
      </w:r>
      <w:r>
        <w:rPr>
          <w:rFonts w:hint="eastAsia" w:ascii="仿宋_GB2312" w:hAnsi="仿宋_GB2312" w:eastAsia="仿宋_GB2312" w:cs="仿宋_GB2312"/>
          <w:color w:val="000000" w:themeColor="text1"/>
          <w:sz w:val="32"/>
          <w:szCs w:val="26"/>
          <w14:textFill>
            <w14:solidFill>
              <w14:schemeClr w14:val="tx1"/>
            </w14:solidFill>
          </w14:textFill>
        </w:rPr>
        <w:t>。</w:t>
      </w:r>
    </w:p>
    <w:p>
      <w:pPr>
        <w:pStyle w:val="4"/>
        <w:shd w:val="clear" w:color="auto" w:fill="FFFFFF"/>
        <w:spacing w:before="0" w:beforeAutospacing="0" w:after="0" w:afterAutospacing="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444444"/>
          <w:sz w:val="32"/>
          <w:szCs w:val="26"/>
        </w:rPr>
        <w:t>　</w:t>
      </w:r>
      <w:r>
        <w:rPr>
          <w:rFonts w:hint="eastAsia" w:ascii="仿宋_GB2312" w:hAnsi="仿宋_GB2312" w:eastAsia="仿宋_GB2312" w:cs="仿宋_GB2312"/>
          <w:color w:val="FF0000"/>
          <w:sz w:val="32"/>
          <w:szCs w:val="26"/>
        </w:rPr>
        <w:t>　</w:t>
      </w:r>
      <w:r>
        <w:rPr>
          <w:rFonts w:hint="eastAsia" w:ascii="仿宋_GB2312" w:hAnsi="仿宋_GB2312" w:eastAsia="仿宋_GB2312" w:cs="仿宋_GB2312"/>
          <w:color w:val="000000" w:themeColor="text1"/>
          <w:sz w:val="32"/>
          <w:szCs w:val="26"/>
          <w14:textFill>
            <w14:solidFill>
              <w14:schemeClr w14:val="tx1"/>
            </w14:solidFill>
          </w14:textFill>
        </w:rPr>
        <w:t>（一）公务接待费用</w:t>
      </w:r>
    </w:p>
    <w:p>
      <w:pPr>
        <w:pStyle w:val="4"/>
        <w:shd w:val="clear" w:color="auto" w:fill="FFFFFF"/>
        <w:spacing w:before="0" w:beforeAutospacing="0" w:after="0" w:afterAutospacing="0"/>
        <w:ind w:firstLine="640"/>
        <w:rPr>
          <w:rFonts w:hint="eastAsia" w:ascii="仿宋_GB2312" w:hAnsi="仿宋_GB2312" w:eastAsia="仿宋_GB2312" w:cs="仿宋_GB2312"/>
          <w:color w:val="000000" w:themeColor="text1"/>
          <w:sz w:val="32"/>
          <w:szCs w:val="26"/>
          <w:lang w:val="en-US" w:eastAsia="zh-CN"/>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2016年公务接待费预算指标</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14922</w:t>
      </w:r>
      <w:r>
        <w:rPr>
          <w:rFonts w:hint="eastAsia" w:ascii="仿宋_GB2312" w:hAnsi="仿宋_GB2312" w:eastAsia="仿宋_GB2312" w:cs="仿宋_GB2312"/>
          <w:color w:val="000000" w:themeColor="text1"/>
          <w:sz w:val="32"/>
          <w:szCs w:val="26"/>
          <w14:textFill>
            <w14:solidFill>
              <w14:schemeClr w14:val="tx1"/>
            </w14:solidFill>
          </w14:textFill>
        </w:rPr>
        <w:t>元，实际支出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14922</w:t>
      </w:r>
      <w:r>
        <w:rPr>
          <w:rFonts w:hint="eastAsia" w:ascii="仿宋_GB2312" w:hAnsi="仿宋_GB2312" w:eastAsia="仿宋_GB2312" w:cs="仿宋_GB2312"/>
          <w:color w:val="000000" w:themeColor="text1"/>
          <w:sz w:val="32"/>
          <w:szCs w:val="26"/>
          <w14:textFill>
            <w14:solidFill>
              <w14:schemeClr w14:val="tx1"/>
            </w14:solidFill>
          </w14:textFill>
        </w:rPr>
        <w:t>元</w:t>
      </w:r>
      <w:r>
        <w:rPr>
          <w:rFonts w:hint="eastAsia" w:ascii="仿宋_GB2312" w:hAnsi="仿宋_GB2312" w:eastAsia="仿宋_GB2312" w:cs="仿宋_GB2312"/>
          <w:color w:val="000000" w:themeColor="text1"/>
          <w:sz w:val="32"/>
          <w:szCs w:val="26"/>
          <w:lang w:eastAsia="zh-CN"/>
          <w14:textFill>
            <w14:solidFill>
              <w14:schemeClr w14:val="tx1"/>
            </w14:solidFill>
          </w14:textFill>
        </w:rPr>
        <w:t>，</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2015年公务接待费决算支出94862元，同比减少79940元。</w:t>
      </w:r>
    </w:p>
    <w:p>
      <w:pPr>
        <w:pStyle w:val="4"/>
        <w:shd w:val="clear" w:color="auto" w:fill="FFFFFF"/>
        <w:spacing w:before="0" w:beforeAutospacing="0" w:after="0" w:afterAutospacing="0"/>
        <w:ind w:firstLine="64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（二）因公出国（境）费</w:t>
      </w:r>
    </w:p>
    <w:p>
      <w:pPr>
        <w:pStyle w:val="4"/>
        <w:shd w:val="clear" w:color="auto" w:fill="FFFFFF"/>
        <w:spacing w:before="0" w:beforeAutospacing="0" w:after="0" w:afterAutospacing="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　　2016年无因公出国（境）事项，未产生因公出国（境）费用。</w:t>
      </w:r>
    </w:p>
    <w:p>
      <w:pPr>
        <w:pStyle w:val="4"/>
        <w:shd w:val="clear" w:color="auto" w:fill="FFFFFF"/>
        <w:spacing w:before="0" w:beforeAutospacing="0" w:after="0" w:afterAutospacing="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　　（三）公务用车运行费用</w:t>
      </w:r>
    </w:p>
    <w:p>
      <w:pPr>
        <w:pStyle w:val="4"/>
        <w:shd w:val="clear" w:color="auto" w:fill="FFFFFF"/>
        <w:spacing w:before="0" w:beforeAutospacing="0" w:after="0" w:afterAutospacing="0"/>
        <w:rPr>
          <w:rFonts w:hint="eastAsia" w:ascii="仿宋_GB2312" w:hAnsi="仿宋_GB2312" w:eastAsia="仿宋_GB2312" w:cs="仿宋_GB2312"/>
          <w:color w:val="000000" w:themeColor="text1"/>
          <w:sz w:val="32"/>
          <w:szCs w:val="26"/>
          <w:lang w:val="en-US" w:eastAsia="zh-CN"/>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　　2016年公务用车运行维护费预算指标</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3330</w:t>
      </w:r>
      <w:r>
        <w:rPr>
          <w:rFonts w:hint="eastAsia" w:ascii="仿宋_GB2312" w:hAnsi="仿宋_GB2312" w:eastAsia="仿宋_GB2312" w:cs="仿宋_GB2312"/>
          <w:color w:val="000000" w:themeColor="text1"/>
          <w:sz w:val="32"/>
          <w:szCs w:val="26"/>
          <w14:textFill>
            <w14:solidFill>
              <w14:schemeClr w14:val="tx1"/>
            </w14:solidFill>
          </w14:textFill>
        </w:rPr>
        <w:t>元。实际支出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3330</w:t>
      </w:r>
      <w:r>
        <w:rPr>
          <w:rFonts w:hint="eastAsia" w:ascii="仿宋_GB2312" w:hAnsi="仿宋_GB2312" w:eastAsia="仿宋_GB2312" w:cs="仿宋_GB2312"/>
          <w:color w:val="000000" w:themeColor="text1"/>
          <w:sz w:val="32"/>
          <w:szCs w:val="26"/>
          <w14:textFill>
            <w14:solidFill>
              <w14:schemeClr w14:val="tx1"/>
            </w14:solidFill>
          </w14:textFill>
        </w:rPr>
        <w:t>元</w:t>
      </w:r>
      <w:r>
        <w:rPr>
          <w:rFonts w:hint="eastAsia" w:ascii="仿宋_GB2312" w:hAnsi="仿宋_GB2312" w:eastAsia="仿宋_GB2312" w:cs="仿宋_GB2312"/>
          <w:color w:val="000000" w:themeColor="text1"/>
          <w:sz w:val="32"/>
          <w:szCs w:val="26"/>
          <w:lang w:eastAsia="zh-CN"/>
          <w14:textFill>
            <w14:solidFill>
              <w14:schemeClr w14:val="tx1"/>
            </w14:solidFill>
          </w14:textFill>
        </w:rPr>
        <w:t>，</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2015年公务用车运行维护费决算支出53735元，同比减少50405元。</w:t>
      </w:r>
    </w:p>
    <w:p>
      <w:pPr>
        <w:pStyle w:val="4"/>
        <w:shd w:val="clear" w:color="auto" w:fill="FFFFFF"/>
        <w:spacing w:before="0" w:beforeAutospacing="0" w:after="0" w:afterAutospacing="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　　五、2016年度收支决算总体情况说明</w:t>
      </w:r>
    </w:p>
    <w:p>
      <w:pPr>
        <w:pStyle w:val="4"/>
        <w:shd w:val="clear" w:color="auto" w:fill="FFFFFF"/>
        <w:spacing w:before="0" w:beforeAutospacing="0" w:after="0" w:afterAutospacing="0"/>
        <w:jc w:val="both"/>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　　2016年度可支配收入</w:t>
      </w:r>
      <w:r>
        <w:rPr>
          <w:rFonts w:hint="eastAsia" w:ascii="仿宋_GB2312" w:hAnsi="仿宋_GB2312" w:eastAsia="仿宋_GB2312" w:cs="仿宋_GB2312"/>
          <w:color w:val="000000" w:themeColor="text1"/>
          <w:sz w:val="32"/>
          <w:szCs w:val="26"/>
          <w:lang w:eastAsia="zh-CN"/>
          <w14:textFill>
            <w14:solidFill>
              <w14:schemeClr w14:val="tx1"/>
            </w14:solidFill>
          </w14:textFill>
        </w:rPr>
        <w:t>3720416.5</w:t>
      </w:r>
      <w:r>
        <w:rPr>
          <w:rFonts w:hint="eastAsia" w:ascii="仿宋_GB2312" w:hAnsi="仿宋_GB2312" w:eastAsia="仿宋_GB2312" w:cs="仿宋_GB2312"/>
          <w:color w:val="000000" w:themeColor="text1"/>
          <w:sz w:val="32"/>
          <w:szCs w:val="26"/>
          <w14:textFill>
            <w14:solidFill>
              <w14:schemeClr w14:val="tx1"/>
            </w14:solidFill>
          </w14:textFill>
        </w:rPr>
        <w:t>元。其中：2016年财政预算拨款</w:t>
      </w:r>
      <w:r>
        <w:rPr>
          <w:rFonts w:hint="eastAsia" w:ascii="仿宋_GB2312" w:hAnsi="仿宋_GB2312" w:eastAsia="仿宋_GB2312" w:cs="仿宋_GB2312"/>
          <w:color w:val="000000" w:themeColor="text1"/>
          <w:sz w:val="32"/>
          <w:szCs w:val="26"/>
          <w:lang w:eastAsia="zh-CN"/>
          <w14:textFill>
            <w14:solidFill>
              <w14:schemeClr w14:val="tx1"/>
            </w14:solidFill>
          </w14:textFill>
        </w:rPr>
        <w:t>3720416.5</w:t>
      </w:r>
      <w:r>
        <w:rPr>
          <w:rFonts w:hint="eastAsia" w:ascii="仿宋_GB2312" w:hAnsi="仿宋_GB2312" w:eastAsia="仿宋_GB2312" w:cs="仿宋_GB2312"/>
          <w:color w:val="000000" w:themeColor="text1"/>
          <w:sz w:val="32"/>
          <w:szCs w:val="26"/>
          <w14:textFill>
            <w14:solidFill>
              <w14:schemeClr w14:val="tx1"/>
            </w14:solidFill>
          </w14:textFill>
        </w:rPr>
        <w:t>元（一般公共预算拨款</w:t>
      </w:r>
      <w:r>
        <w:rPr>
          <w:rFonts w:hint="eastAsia" w:ascii="仿宋_GB2312" w:hAnsi="仿宋_GB2312" w:eastAsia="仿宋_GB2312" w:cs="仿宋_GB2312"/>
          <w:color w:val="000000" w:themeColor="text1"/>
          <w:sz w:val="32"/>
          <w:szCs w:val="26"/>
          <w:lang w:eastAsia="zh-CN"/>
          <w14:textFill>
            <w14:solidFill>
              <w14:schemeClr w14:val="tx1"/>
            </w14:solidFill>
          </w14:textFill>
        </w:rPr>
        <w:t>3720416.5</w:t>
      </w:r>
      <w:r>
        <w:rPr>
          <w:rFonts w:hint="eastAsia" w:ascii="仿宋_GB2312" w:hAnsi="仿宋_GB2312" w:eastAsia="仿宋_GB2312" w:cs="仿宋_GB2312"/>
          <w:color w:val="000000" w:themeColor="text1"/>
          <w:sz w:val="32"/>
          <w:szCs w:val="26"/>
          <w14:textFill>
            <w14:solidFill>
              <w14:schemeClr w14:val="tx1"/>
            </w14:solidFill>
          </w14:textFill>
        </w:rPr>
        <w:t>元）。本年实际支出</w:t>
      </w:r>
      <w:r>
        <w:rPr>
          <w:rFonts w:hint="eastAsia" w:ascii="仿宋_GB2312" w:hAnsi="仿宋_GB2312" w:eastAsia="仿宋_GB2312" w:cs="仿宋_GB2312"/>
          <w:color w:val="000000" w:themeColor="text1"/>
          <w:sz w:val="32"/>
          <w:szCs w:val="26"/>
          <w:lang w:eastAsia="zh-CN"/>
          <w14:textFill>
            <w14:solidFill>
              <w14:schemeClr w14:val="tx1"/>
            </w14:solidFill>
          </w14:textFill>
        </w:rPr>
        <w:t>3720416.5</w:t>
      </w:r>
      <w:r>
        <w:rPr>
          <w:rFonts w:hint="eastAsia" w:ascii="仿宋_GB2312" w:hAnsi="仿宋_GB2312" w:eastAsia="仿宋_GB2312" w:cs="仿宋_GB2312"/>
          <w:color w:val="000000" w:themeColor="text1"/>
          <w:sz w:val="32"/>
          <w:szCs w:val="26"/>
          <w14:textFill>
            <w14:solidFill>
              <w14:schemeClr w14:val="tx1"/>
            </w14:solidFill>
          </w14:textFill>
        </w:rPr>
        <w:t>元, 其中</w:t>
      </w:r>
      <w:r>
        <w:rPr>
          <w:rFonts w:hint="eastAsia" w:ascii="仿宋_GB2312" w:hAnsi="仿宋_GB2312" w:eastAsia="仿宋_GB2312" w:cs="仿宋_GB2312"/>
          <w:color w:val="000000" w:themeColor="text1"/>
          <w:sz w:val="32"/>
          <w:szCs w:val="26"/>
          <w:lang w:eastAsia="zh-CN"/>
          <w14:textFill>
            <w14:solidFill>
              <w14:schemeClr w14:val="tx1"/>
            </w14:solidFill>
          </w14:textFill>
        </w:rPr>
        <w:t>一般公共服务</w:t>
      </w:r>
      <w:r>
        <w:rPr>
          <w:rFonts w:hint="eastAsia" w:ascii="仿宋_GB2312" w:hAnsi="仿宋_GB2312" w:eastAsia="仿宋_GB2312" w:cs="仿宋_GB2312"/>
          <w:color w:val="000000" w:themeColor="text1"/>
          <w:sz w:val="32"/>
          <w:szCs w:val="26"/>
          <w14:textFill>
            <w14:solidFill>
              <w14:schemeClr w14:val="tx1"/>
            </w14:solidFill>
          </w14:textFill>
        </w:rPr>
        <w:t>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3120416.5</w:t>
      </w:r>
      <w:r>
        <w:rPr>
          <w:rFonts w:hint="eastAsia" w:ascii="仿宋_GB2312" w:hAnsi="仿宋_GB2312" w:eastAsia="仿宋_GB2312" w:cs="仿宋_GB2312"/>
          <w:color w:val="000000" w:themeColor="text1"/>
          <w:sz w:val="32"/>
          <w:szCs w:val="26"/>
          <w14:textFill>
            <w14:solidFill>
              <w14:schemeClr w14:val="tx1"/>
            </w14:solidFill>
          </w14:textFill>
        </w:rPr>
        <w:t>元</w:t>
      </w:r>
      <w:r>
        <w:rPr>
          <w:rFonts w:hint="eastAsia" w:ascii="仿宋_GB2312" w:hAnsi="仿宋_GB2312" w:eastAsia="仿宋_GB2312" w:cs="仿宋_GB2312"/>
          <w:color w:val="000000" w:themeColor="text1"/>
          <w:sz w:val="32"/>
          <w:szCs w:val="26"/>
          <w:lang w:eastAsia="zh-CN"/>
          <w14:textFill>
            <w14:solidFill>
              <w14:schemeClr w14:val="tx1"/>
            </w14:solidFill>
          </w14:textFill>
        </w:rPr>
        <w:t>，商业服务业等支出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3720416.5元</w:t>
      </w:r>
      <w:r>
        <w:rPr>
          <w:rFonts w:hint="eastAsia" w:ascii="仿宋_GB2312" w:hAnsi="仿宋_GB2312" w:eastAsia="仿宋_GB2312" w:cs="仿宋_GB2312"/>
          <w:color w:val="000000" w:themeColor="text1"/>
          <w:sz w:val="32"/>
          <w:szCs w:val="26"/>
          <w14:textFill>
            <w14:solidFill>
              <w14:schemeClr w14:val="tx1"/>
            </w14:solidFill>
          </w14:textFill>
        </w:rPr>
        <w:t>。</w:t>
      </w:r>
    </w:p>
    <w:p>
      <w:pPr>
        <w:pStyle w:val="4"/>
        <w:shd w:val="clear" w:color="auto" w:fill="FFFFFF"/>
        <w:spacing w:before="0" w:beforeAutospacing="0" w:after="0" w:afterAutospacing="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　　六、2016 年度收入决算情况说明</w:t>
      </w:r>
    </w:p>
    <w:p>
      <w:pPr>
        <w:pStyle w:val="4"/>
        <w:shd w:val="clear" w:color="auto" w:fill="FFFFFF"/>
        <w:spacing w:before="0" w:beforeAutospacing="0" w:after="0" w:afterAutospacing="0"/>
        <w:ind w:firstLine="64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2016年度可支配收入</w:t>
      </w:r>
      <w:r>
        <w:rPr>
          <w:rFonts w:hint="eastAsia" w:ascii="仿宋_GB2312" w:hAnsi="仿宋_GB2312" w:eastAsia="仿宋_GB2312" w:cs="仿宋_GB2312"/>
          <w:color w:val="000000" w:themeColor="text1"/>
          <w:sz w:val="32"/>
          <w:szCs w:val="26"/>
          <w:lang w:eastAsia="zh-CN"/>
          <w14:textFill>
            <w14:solidFill>
              <w14:schemeClr w14:val="tx1"/>
            </w14:solidFill>
          </w14:textFill>
        </w:rPr>
        <w:t>3720416.5</w:t>
      </w:r>
      <w:r>
        <w:rPr>
          <w:rFonts w:hint="eastAsia" w:ascii="仿宋_GB2312" w:hAnsi="仿宋_GB2312" w:eastAsia="仿宋_GB2312" w:cs="仿宋_GB2312"/>
          <w:color w:val="000000" w:themeColor="text1"/>
          <w:sz w:val="32"/>
          <w:szCs w:val="26"/>
          <w14:textFill>
            <w14:solidFill>
              <w14:schemeClr w14:val="tx1"/>
            </w14:solidFill>
          </w14:textFill>
        </w:rPr>
        <w:t>元。其中：2016年财政预算拨款</w:t>
      </w:r>
      <w:r>
        <w:rPr>
          <w:rFonts w:hint="eastAsia" w:ascii="仿宋_GB2312" w:hAnsi="仿宋_GB2312" w:eastAsia="仿宋_GB2312" w:cs="仿宋_GB2312"/>
          <w:color w:val="000000" w:themeColor="text1"/>
          <w:sz w:val="32"/>
          <w:szCs w:val="26"/>
          <w:lang w:eastAsia="zh-CN"/>
          <w14:textFill>
            <w14:solidFill>
              <w14:schemeClr w14:val="tx1"/>
            </w14:solidFill>
          </w14:textFill>
        </w:rPr>
        <w:t>3720416.5</w:t>
      </w:r>
      <w:r>
        <w:rPr>
          <w:rFonts w:hint="eastAsia" w:ascii="仿宋_GB2312" w:hAnsi="仿宋_GB2312" w:eastAsia="仿宋_GB2312" w:cs="仿宋_GB2312"/>
          <w:color w:val="000000" w:themeColor="text1"/>
          <w:sz w:val="32"/>
          <w:szCs w:val="26"/>
          <w14:textFill>
            <w14:solidFill>
              <w14:schemeClr w14:val="tx1"/>
            </w14:solidFill>
          </w14:textFill>
        </w:rPr>
        <w:t>元（一般公共预算拨款</w:t>
      </w:r>
      <w:r>
        <w:rPr>
          <w:rFonts w:hint="eastAsia" w:ascii="仿宋_GB2312" w:hAnsi="仿宋_GB2312" w:eastAsia="仿宋_GB2312" w:cs="仿宋_GB2312"/>
          <w:color w:val="000000" w:themeColor="text1"/>
          <w:sz w:val="32"/>
          <w:szCs w:val="26"/>
          <w:lang w:eastAsia="zh-CN"/>
          <w14:textFill>
            <w14:solidFill>
              <w14:schemeClr w14:val="tx1"/>
            </w14:solidFill>
          </w14:textFill>
        </w:rPr>
        <w:t>3720416.5</w:t>
      </w:r>
      <w:r>
        <w:rPr>
          <w:rFonts w:hint="eastAsia" w:ascii="仿宋_GB2312" w:hAnsi="仿宋_GB2312" w:eastAsia="仿宋_GB2312" w:cs="仿宋_GB2312"/>
          <w:color w:val="000000" w:themeColor="text1"/>
          <w:sz w:val="32"/>
          <w:szCs w:val="26"/>
          <w14:textFill>
            <w14:solidFill>
              <w14:schemeClr w14:val="tx1"/>
            </w14:solidFill>
          </w14:textFill>
        </w:rPr>
        <w:t>元）。　　</w:t>
      </w:r>
    </w:p>
    <w:p>
      <w:pPr>
        <w:pStyle w:val="4"/>
        <w:shd w:val="clear" w:color="auto" w:fill="FFFFFF"/>
        <w:spacing w:before="0" w:beforeAutospacing="0" w:after="0" w:afterAutospacing="0"/>
        <w:ind w:firstLine="64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七、2016年度支出决算情况说明</w:t>
      </w:r>
    </w:p>
    <w:p>
      <w:pPr>
        <w:pStyle w:val="4"/>
        <w:shd w:val="clear" w:color="auto" w:fill="FFFFFF"/>
        <w:spacing w:before="0" w:beforeAutospacing="0" w:after="0" w:afterAutospacing="0"/>
        <w:ind w:firstLine="640"/>
        <w:rPr>
          <w:rFonts w:hint="eastAsia" w:ascii="微软雅黑" w:hAnsi="微软雅黑" w:eastAsia="仿宋_GB2312"/>
          <w:color w:val="000000" w:themeColor="text1"/>
          <w:sz w:val="32"/>
          <w:szCs w:val="26"/>
          <w:lang w:eastAsia="zh-CN"/>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2016年度支出</w:t>
      </w:r>
      <w:r>
        <w:rPr>
          <w:rFonts w:hint="eastAsia" w:ascii="仿宋_GB2312" w:hAnsi="仿宋_GB2312" w:eastAsia="仿宋_GB2312" w:cs="仿宋_GB2312"/>
          <w:color w:val="000000" w:themeColor="text1"/>
          <w:sz w:val="32"/>
          <w:szCs w:val="26"/>
          <w:lang w:eastAsia="zh-CN"/>
          <w14:textFill>
            <w14:solidFill>
              <w14:schemeClr w14:val="tx1"/>
            </w14:solidFill>
          </w14:textFill>
        </w:rPr>
        <w:t>3720416.5</w:t>
      </w:r>
      <w:r>
        <w:rPr>
          <w:rFonts w:hint="eastAsia" w:ascii="仿宋_GB2312" w:hAnsi="仿宋_GB2312" w:eastAsia="仿宋_GB2312" w:cs="仿宋_GB2312"/>
          <w:color w:val="000000" w:themeColor="text1"/>
          <w:sz w:val="32"/>
          <w:szCs w:val="26"/>
          <w14:textFill>
            <w14:solidFill>
              <w14:schemeClr w14:val="tx1"/>
            </w14:solidFill>
          </w14:textFill>
        </w:rPr>
        <w:t>元, 其中一般公共预算拨款支出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3120416.5</w:t>
      </w:r>
      <w:r>
        <w:rPr>
          <w:rFonts w:hint="eastAsia" w:ascii="仿宋_GB2312" w:hAnsi="仿宋_GB2312" w:eastAsia="仿宋_GB2312" w:cs="仿宋_GB2312"/>
          <w:color w:val="000000" w:themeColor="text1"/>
          <w:sz w:val="32"/>
          <w:szCs w:val="26"/>
          <w14:textFill>
            <w14:solidFill>
              <w14:schemeClr w14:val="tx1"/>
            </w14:solidFill>
          </w14:textFill>
        </w:rPr>
        <w:t>元,占年度支出的</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83.87</w:t>
      </w:r>
      <w:r>
        <w:rPr>
          <w:rFonts w:hint="eastAsia" w:ascii="仿宋_GB2312" w:hAnsi="仿宋_GB2312" w:eastAsia="仿宋_GB2312" w:cs="仿宋_GB2312"/>
          <w:color w:val="000000" w:themeColor="text1"/>
          <w:sz w:val="32"/>
          <w:szCs w:val="26"/>
          <w14:textFill>
            <w14:solidFill>
              <w14:schemeClr w14:val="tx1"/>
            </w14:solidFill>
          </w14:textFill>
        </w:rPr>
        <w:t>%</w:t>
      </w:r>
      <w:r>
        <w:rPr>
          <w:rFonts w:hint="eastAsia" w:ascii="仿宋_GB2312" w:hAnsi="仿宋_GB2312" w:eastAsia="仿宋_GB2312" w:cs="仿宋_GB2312"/>
          <w:color w:val="000000" w:themeColor="text1"/>
          <w:sz w:val="32"/>
          <w:szCs w:val="26"/>
          <w:lang w:eastAsia="zh-CN"/>
          <w14:textFill>
            <w14:solidFill>
              <w14:schemeClr w14:val="tx1"/>
            </w14:solidFill>
          </w14:textFill>
        </w:rPr>
        <w:t>；商业服务业等支出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600000元，</w:t>
      </w:r>
      <w:r>
        <w:rPr>
          <w:rFonts w:hint="eastAsia" w:ascii="仿宋_GB2312" w:hAnsi="仿宋_GB2312" w:eastAsia="仿宋_GB2312" w:cs="仿宋_GB2312"/>
          <w:color w:val="000000" w:themeColor="text1"/>
          <w:sz w:val="32"/>
          <w:szCs w:val="26"/>
          <w14:textFill>
            <w14:solidFill>
              <w14:schemeClr w14:val="tx1"/>
            </w14:solidFill>
          </w14:textFill>
        </w:rPr>
        <w:t>占年度支出的</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16.13</w:t>
      </w:r>
      <w:r>
        <w:rPr>
          <w:rFonts w:hint="eastAsia" w:ascii="仿宋_GB2312" w:hAnsi="仿宋_GB2312" w:eastAsia="仿宋_GB2312" w:cs="仿宋_GB2312"/>
          <w:color w:val="000000" w:themeColor="text1"/>
          <w:sz w:val="32"/>
          <w:szCs w:val="26"/>
          <w14:textFill>
            <w14:solidFill>
              <w14:schemeClr w14:val="tx1"/>
            </w14:solidFill>
          </w14:textFill>
        </w:rPr>
        <w:t>%</w:t>
      </w:r>
      <w:r>
        <w:rPr>
          <w:rFonts w:hint="eastAsia" w:ascii="仿宋_GB2312" w:hAnsi="仿宋_GB2312" w:eastAsia="仿宋_GB2312" w:cs="仿宋_GB2312"/>
          <w:color w:val="000000" w:themeColor="text1"/>
          <w:sz w:val="32"/>
          <w:szCs w:val="26"/>
          <w:lang w:eastAsia="zh-CN"/>
          <w14:textFill>
            <w14:solidFill>
              <w14:schemeClr w14:val="tx1"/>
            </w14:solidFill>
          </w14:textFill>
        </w:rPr>
        <w:t>。</w:t>
      </w:r>
    </w:p>
    <w:p>
      <w:pPr>
        <w:pStyle w:val="4"/>
        <w:shd w:val="clear" w:color="auto" w:fill="FFFFFF"/>
        <w:spacing w:before="0" w:beforeAutospacing="0" w:after="0" w:afterAutospacing="0"/>
        <w:rPr>
          <w:rFonts w:hint="eastAsia" w:ascii="微软雅黑" w:hAnsi="微软雅黑" w:eastAsia="仿宋"/>
          <w:color w:val="444444"/>
          <w:sz w:val="32"/>
          <w:szCs w:val="26"/>
        </w:rPr>
      </w:pPr>
      <w:bookmarkStart w:id="0" w:name="_GoBack"/>
      <w:bookmarkEnd w:id="0"/>
    </w:p>
    <w:p>
      <w:pPr>
        <w:pStyle w:val="4"/>
        <w:shd w:val="clear" w:color="auto" w:fill="FFFFFF"/>
        <w:spacing w:before="0" w:beforeAutospacing="0" w:after="0" w:afterAutospacing="0"/>
        <w:ind w:firstLine="640"/>
        <w:rPr>
          <w:rFonts w:hint="eastAsia" w:ascii="微软雅黑" w:hAnsi="微软雅黑" w:eastAsia="仿宋"/>
          <w:color w:val="444444"/>
          <w:sz w:val="32"/>
          <w:szCs w:val="26"/>
        </w:rPr>
      </w:pPr>
    </w:p>
    <w:p>
      <w:pPr>
        <w:pStyle w:val="4"/>
        <w:shd w:val="clear" w:color="auto" w:fill="FFFFFF"/>
        <w:spacing w:before="0" w:beforeAutospacing="0" w:after="0" w:afterAutospacing="0"/>
        <w:rPr>
          <w:rFonts w:ascii="微软雅黑" w:hAnsi="微软雅黑" w:eastAsia="仿宋"/>
          <w:color w:val="444444"/>
          <w:sz w:val="32"/>
          <w:szCs w:val="26"/>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ind w:firstLine="2520" w:firstLineChars="300"/>
        <w:rPr>
          <w:rFonts w:ascii="方正小标宋简体" w:hAnsi="方正小标宋简体" w:eastAsia="方正小标宋简体" w:cs="方正小标宋简体"/>
          <w:sz w:val="84"/>
          <w:szCs w:val="84"/>
        </w:rPr>
      </w:pPr>
      <w:r>
        <w:rPr>
          <w:rFonts w:hint="eastAsia" w:ascii="方正小标宋简体" w:hAnsi="方正小标宋简体" w:eastAsia="方正小标宋简体" w:cs="方正小标宋简体"/>
          <w:sz w:val="84"/>
          <w:szCs w:val="84"/>
        </w:rPr>
        <w:t>第四部分</w:t>
      </w:r>
    </w:p>
    <w:p>
      <w:pPr>
        <w:rPr>
          <w:rFonts w:ascii="Calibri" w:hAnsi="Calibri" w:eastAsia="宋体" w:cs="Times New Roman"/>
        </w:rPr>
      </w:pPr>
      <w:r>
        <w:rPr>
          <w:rFonts w:hint="eastAsia" w:ascii="Calibri" w:hAnsi="Calibri" w:eastAsia="宋体" w:cs="Times New Roman"/>
        </w:rPr>
        <w:t xml:space="preserve">                             </w:t>
      </w:r>
    </w:p>
    <w:p>
      <w:pPr>
        <w:rPr>
          <w:rFonts w:ascii="Calibri" w:hAnsi="Calibri" w:eastAsia="宋体" w:cs="Times New Roman"/>
        </w:rPr>
      </w:pPr>
    </w:p>
    <w:p>
      <w:pPr>
        <w:jc w:val="center"/>
        <w:rPr>
          <w:rFonts w:ascii="方正小标宋简体" w:hAnsi="方正小标宋简体" w:eastAsia="方正小标宋简体" w:cs="方正小标宋简体"/>
          <w:sz w:val="84"/>
          <w:szCs w:val="84"/>
        </w:rPr>
      </w:pPr>
      <w:r>
        <w:rPr>
          <w:rFonts w:hint="eastAsia" w:ascii="方正小标宋简体" w:hAnsi="方正小标宋简体" w:eastAsia="方正小标宋简体" w:cs="方正小标宋简体"/>
          <w:sz w:val="84"/>
          <w:szCs w:val="84"/>
        </w:rPr>
        <w:t>名词解释</w:t>
      </w:r>
    </w:p>
    <w:p>
      <w:pPr>
        <w:pStyle w:val="4"/>
        <w:shd w:val="clear" w:color="auto" w:fill="FFFFFF"/>
        <w:spacing w:before="0" w:beforeAutospacing="0" w:after="0" w:afterAutospacing="0"/>
        <w:rPr>
          <w:rFonts w:ascii="微软雅黑" w:hAnsi="微软雅黑" w:eastAsia="仿宋"/>
          <w:color w:val="444444"/>
          <w:sz w:val="28"/>
          <w:szCs w:val="28"/>
        </w:rPr>
      </w:pPr>
    </w:p>
    <w:p>
      <w:pPr>
        <w:pStyle w:val="4"/>
        <w:shd w:val="clear" w:color="auto" w:fill="FFFFFF"/>
        <w:spacing w:before="0" w:beforeAutospacing="0" w:after="0" w:afterAutospacing="0"/>
        <w:rPr>
          <w:rFonts w:ascii="微软雅黑" w:hAnsi="微软雅黑" w:eastAsia="仿宋"/>
          <w:color w:val="444444"/>
          <w:sz w:val="28"/>
          <w:szCs w:val="28"/>
        </w:rPr>
      </w:pPr>
    </w:p>
    <w:p>
      <w:pPr>
        <w:pStyle w:val="4"/>
        <w:shd w:val="clear" w:color="auto" w:fill="FFFFFF"/>
        <w:spacing w:before="0" w:beforeAutospacing="0" w:after="0" w:afterAutospacing="0"/>
        <w:rPr>
          <w:rFonts w:ascii="微软雅黑" w:hAnsi="微软雅黑" w:eastAsia="仿宋"/>
          <w:color w:val="444444"/>
          <w:sz w:val="28"/>
          <w:szCs w:val="28"/>
        </w:rPr>
      </w:pPr>
    </w:p>
    <w:p>
      <w:pPr>
        <w:pStyle w:val="4"/>
        <w:shd w:val="clear" w:color="auto" w:fill="FFFFFF"/>
        <w:spacing w:before="0" w:beforeAutospacing="0" w:after="0" w:afterAutospacing="0"/>
        <w:rPr>
          <w:rFonts w:ascii="微软雅黑" w:hAnsi="微软雅黑" w:eastAsia="仿宋"/>
          <w:color w:val="444444"/>
          <w:sz w:val="28"/>
          <w:szCs w:val="28"/>
        </w:rPr>
      </w:pPr>
    </w:p>
    <w:p>
      <w:pPr>
        <w:pStyle w:val="4"/>
        <w:shd w:val="clear" w:color="auto" w:fill="FFFFFF"/>
        <w:spacing w:before="0" w:beforeAutospacing="0" w:after="0" w:afterAutospacing="0"/>
        <w:rPr>
          <w:rFonts w:ascii="微软雅黑" w:hAnsi="微软雅黑" w:eastAsia="仿宋"/>
          <w:color w:val="444444"/>
          <w:sz w:val="28"/>
          <w:szCs w:val="28"/>
        </w:rPr>
      </w:pPr>
    </w:p>
    <w:p>
      <w:pPr>
        <w:pStyle w:val="4"/>
        <w:shd w:val="clear" w:color="auto" w:fill="FFFFFF"/>
        <w:spacing w:before="0" w:beforeAutospacing="0" w:after="0" w:afterAutospacing="0"/>
        <w:rPr>
          <w:rFonts w:ascii="微软雅黑" w:hAnsi="微软雅黑" w:eastAsia="仿宋"/>
          <w:color w:val="444444"/>
          <w:sz w:val="28"/>
          <w:szCs w:val="28"/>
        </w:rPr>
      </w:pPr>
    </w:p>
    <w:p>
      <w:pPr>
        <w:pStyle w:val="4"/>
        <w:shd w:val="clear" w:color="auto" w:fill="FFFFFF"/>
        <w:spacing w:before="0" w:beforeAutospacing="0" w:after="0" w:afterAutospacing="0"/>
        <w:rPr>
          <w:rFonts w:ascii="微软雅黑" w:hAnsi="微软雅黑" w:eastAsia="仿宋"/>
          <w:color w:val="444444"/>
          <w:sz w:val="28"/>
          <w:szCs w:val="28"/>
        </w:rPr>
      </w:pPr>
    </w:p>
    <w:p>
      <w:pPr>
        <w:pStyle w:val="4"/>
        <w:shd w:val="clear" w:color="auto" w:fill="FFFFFF"/>
        <w:spacing w:before="0" w:beforeAutospacing="0" w:after="0" w:afterAutospacing="0"/>
        <w:rPr>
          <w:rFonts w:ascii="微软雅黑" w:hAnsi="微软雅黑" w:eastAsia="仿宋"/>
          <w:color w:val="444444"/>
          <w:sz w:val="28"/>
          <w:szCs w:val="28"/>
        </w:rPr>
      </w:pPr>
    </w:p>
    <w:p>
      <w:pPr>
        <w:pStyle w:val="4"/>
        <w:shd w:val="clear" w:color="auto" w:fill="FFFFFF"/>
        <w:spacing w:before="0" w:beforeAutospacing="0" w:after="0" w:afterAutospacing="0"/>
        <w:rPr>
          <w:rFonts w:ascii="微软雅黑" w:hAnsi="微软雅黑" w:eastAsia="仿宋"/>
          <w:color w:val="444444"/>
          <w:sz w:val="28"/>
          <w:szCs w:val="28"/>
        </w:rPr>
      </w:pPr>
    </w:p>
    <w:p>
      <w:pPr>
        <w:pStyle w:val="4"/>
        <w:shd w:val="clear" w:color="auto" w:fill="FFFFFF"/>
        <w:spacing w:before="0" w:beforeAutospacing="0" w:after="0" w:afterAutospacing="0"/>
        <w:rPr>
          <w:rFonts w:ascii="微软雅黑" w:hAnsi="微软雅黑" w:eastAsia="仿宋"/>
          <w:color w:val="444444"/>
          <w:sz w:val="28"/>
          <w:szCs w:val="28"/>
        </w:rPr>
      </w:pPr>
    </w:p>
    <w:p>
      <w:pPr>
        <w:pStyle w:val="4"/>
        <w:shd w:val="clear" w:color="auto" w:fill="FFFFFF"/>
        <w:spacing w:before="0" w:beforeAutospacing="0" w:after="0" w:afterAutospacing="0"/>
        <w:rPr>
          <w:rFonts w:ascii="微软雅黑" w:hAnsi="微软雅黑" w:eastAsia="仿宋"/>
          <w:color w:val="444444"/>
          <w:sz w:val="28"/>
          <w:szCs w:val="28"/>
        </w:rPr>
      </w:pPr>
    </w:p>
    <w:p>
      <w:pPr>
        <w:pStyle w:val="4"/>
        <w:shd w:val="clear" w:color="auto" w:fill="FFFFFF"/>
        <w:spacing w:before="0" w:beforeAutospacing="0" w:after="0" w:afterAutospacing="0"/>
        <w:ind w:firstLine="560" w:firstLineChars="200"/>
        <w:rPr>
          <w:rFonts w:ascii="微软雅黑" w:hAnsi="微软雅黑" w:eastAsia="仿宋"/>
          <w:color w:val="000000" w:themeColor="text1"/>
          <w:sz w:val="32"/>
          <w:szCs w:val="26"/>
          <w14:textFill>
            <w14:solidFill>
              <w14:schemeClr w14:val="tx1"/>
            </w14:solidFill>
          </w14:textFill>
        </w:rPr>
      </w:pPr>
      <w:r>
        <w:rPr>
          <w:rFonts w:hint="eastAsia" w:ascii="微软雅黑" w:hAnsi="微软雅黑" w:eastAsia="仿宋"/>
          <w:color w:val="444444"/>
          <w:sz w:val="28"/>
          <w:szCs w:val="28"/>
        </w:rPr>
        <w:t>　</w:t>
      </w:r>
      <w:r>
        <w:rPr>
          <w:rFonts w:hint="eastAsia" w:ascii="微软雅黑" w:hAnsi="微软雅黑" w:eastAsia="仿宋"/>
          <w:color w:val="000000" w:themeColor="text1"/>
          <w:sz w:val="32"/>
          <w:szCs w:val="26"/>
          <w14:textFill>
            <w14:solidFill>
              <w14:schemeClr w14:val="tx1"/>
            </w14:solidFill>
          </w14:textFill>
        </w:rPr>
        <w:t>一、“三公”经费</w:t>
      </w:r>
    </w:p>
    <w:p>
      <w:pPr>
        <w:pStyle w:val="4"/>
        <w:shd w:val="clear" w:color="auto" w:fill="FFFFFF"/>
        <w:spacing w:before="0" w:beforeAutospacing="0" w:after="0" w:afterAutospacing="0"/>
        <w:rPr>
          <w:rFonts w:ascii="微软雅黑" w:hAnsi="微软雅黑" w:eastAsia="仿宋"/>
          <w:color w:val="000000" w:themeColor="text1"/>
          <w:sz w:val="32"/>
          <w:szCs w:val="26"/>
          <w14:textFill>
            <w14:solidFill>
              <w14:schemeClr w14:val="tx1"/>
            </w14:solidFill>
          </w14:textFill>
        </w:rPr>
      </w:pPr>
      <w:r>
        <w:rPr>
          <w:rFonts w:hint="eastAsia" w:ascii="微软雅黑" w:hAnsi="微软雅黑" w:eastAsia="仿宋"/>
          <w:color w:val="000000" w:themeColor="text1"/>
          <w:sz w:val="32"/>
          <w:szCs w:val="26"/>
          <w14:textFill>
            <w14:solidFill>
              <w14:schemeClr w14:val="tx1"/>
            </w14:solidFill>
          </w14:textFill>
        </w:rPr>
        <w:t>　　“三公”经费是指政府部门人员因公出国（境）、公务车内置及运行以及公务所产生的消费，是当前公共行政领域亟待解决的问题之一。</w:t>
      </w:r>
    </w:p>
    <w:p>
      <w:pPr>
        <w:pStyle w:val="4"/>
        <w:shd w:val="clear" w:color="auto" w:fill="FFFFFF"/>
        <w:spacing w:before="0" w:beforeAutospacing="0" w:after="0" w:afterAutospacing="0"/>
        <w:ind w:firstLine="640" w:firstLineChars="200"/>
        <w:rPr>
          <w:rFonts w:ascii="微软雅黑" w:hAnsi="微软雅黑" w:eastAsia="仿宋"/>
          <w:color w:val="000000" w:themeColor="text1"/>
          <w:sz w:val="32"/>
          <w:szCs w:val="26"/>
          <w14:textFill>
            <w14:solidFill>
              <w14:schemeClr w14:val="tx1"/>
            </w14:solidFill>
          </w14:textFill>
        </w:rPr>
      </w:pPr>
      <w:r>
        <w:rPr>
          <w:rFonts w:hint="eastAsia" w:ascii="微软雅黑" w:hAnsi="微软雅黑" w:eastAsia="仿宋"/>
          <w:color w:val="000000" w:themeColor="text1"/>
          <w:sz w:val="32"/>
          <w:szCs w:val="26"/>
          <w14:textFill>
            <w14:solidFill>
              <w14:schemeClr w14:val="tx1"/>
            </w14:solidFill>
          </w14:textFill>
        </w:rPr>
        <w:t>二、政府性基金</w:t>
      </w:r>
    </w:p>
    <w:p>
      <w:pPr>
        <w:pStyle w:val="4"/>
        <w:shd w:val="clear" w:color="auto" w:fill="FFFFFF"/>
        <w:spacing w:before="0" w:beforeAutospacing="0" w:after="0" w:afterAutospacing="0"/>
        <w:rPr>
          <w:rFonts w:ascii="微软雅黑" w:hAnsi="微软雅黑" w:eastAsia="仿宋"/>
          <w:color w:val="000000" w:themeColor="text1"/>
          <w:sz w:val="32"/>
          <w:szCs w:val="26"/>
          <w14:textFill>
            <w14:solidFill>
              <w14:schemeClr w14:val="tx1"/>
            </w14:solidFill>
          </w14:textFill>
        </w:rPr>
      </w:pPr>
      <w:r>
        <w:rPr>
          <w:rFonts w:hint="eastAsia" w:ascii="微软雅黑" w:hAnsi="微软雅黑" w:eastAsia="仿宋"/>
          <w:color w:val="000000" w:themeColor="text1"/>
          <w:sz w:val="32"/>
          <w:szCs w:val="26"/>
          <w14:textFill>
            <w14:solidFill>
              <w14:schemeClr w14:val="tx1"/>
            </w14:solidFill>
          </w14:textFill>
        </w:rPr>
        <w:t>　　政府性基金是指和级人民政府及其所属部门根据法律、国家行政法规和中共中央、国务院的有关规定，为支持某项事业发展，按照国家规定程序批准，向公民、法人和其它组织征收的具有专项用途的资金，包括各种基金、资金、附加和专项收费。</w:t>
      </w:r>
    </w:p>
    <w:p>
      <w:pPr>
        <w:pStyle w:val="4"/>
        <w:shd w:val="clear" w:color="auto" w:fill="FFFFFF"/>
        <w:spacing w:before="0" w:beforeAutospacing="0" w:after="0" w:afterAutospacing="0"/>
        <w:ind w:firstLine="640" w:firstLineChars="200"/>
        <w:rPr>
          <w:rFonts w:ascii="微软雅黑" w:hAnsi="微软雅黑" w:eastAsia="仿宋"/>
          <w:color w:val="000000" w:themeColor="text1"/>
          <w:sz w:val="32"/>
          <w:szCs w:val="26"/>
          <w14:textFill>
            <w14:solidFill>
              <w14:schemeClr w14:val="tx1"/>
            </w14:solidFill>
          </w14:textFill>
        </w:rPr>
      </w:pPr>
      <w:r>
        <w:rPr>
          <w:rFonts w:hint="eastAsia" w:ascii="微软雅黑" w:hAnsi="微软雅黑" w:eastAsia="仿宋"/>
          <w:color w:val="000000" w:themeColor="text1"/>
          <w:sz w:val="32"/>
          <w:szCs w:val="26"/>
          <w14:textFill>
            <w14:solidFill>
              <w14:schemeClr w14:val="tx1"/>
            </w14:solidFill>
          </w14:textFill>
        </w:rPr>
        <w:t>三、一般公共预算</w:t>
      </w:r>
    </w:p>
    <w:p>
      <w:pPr>
        <w:pStyle w:val="4"/>
        <w:shd w:val="clear" w:color="auto" w:fill="FFFFFF"/>
        <w:spacing w:before="0" w:beforeAutospacing="0" w:after="0" w:afterAutospacing="0"/>
        <w:rPr>
          <w:rFonts w:ascii="微软雅黑" w:hAnsi="微软雅黑" w:eastAsia="仿宋"/>
          <w:color w:val="000000" w:themeColor="text1"/>
          <w:sz w:val="32"/>
          <w:szCs w:val="26"/>
          <w14:textFill>
            <w14:solidFill>
              <w14:schemeClr w14:val="tx1"/>
            </w14:solidFill>
          </w14:textFill>
        </w:rPr>
      </w:pPr>
      <w:r>
        <w:rPr>
          <w:rFonts w:hint="eastAsia" w:ascii="微软雅黑" w:hAnsi="微软雅黑" w:eastAsia="仿宋"/>
          <w:color w:val="000000" w:themeColor="text1"/>
          <w:sz w:val="32"/>
          <w:szCs w:val="26"/>
          <w14:textFill>
            <w14:solidFill>
              <w14:schemeClr w14:val="tx1"/>
            </w14:solidFill>
          </w14:textFill>
        </w:rPr>
        <w:t>　　一般公共预算是以收税为主的财政收入，安排用于保障和改善民生，推动经济社会发展，维护国家安全，维持国家机构正常运转方面的收支预算。</w:t>
      </w:r>
    </w:p>
    <w:p>
      <w:pPr>
        <w:rPr>
          <w:rFonts w:ascii="仿宋_GB2312" w:hAnsi="仿宋_GB2312" w:eastAsia="仿宋_GB2312" w:cs="仿宋_GB2312"/>
          <w:color w:val="000000" w:themeColor="text1"/>
          <w:sz w:val="84"/>
          <w:szCs w:val="84"/>
          <w14:textFill>
            <w14:solidFill>
              <w14:schemeClr w14:val="tx1"/>
            </w14:solidFill>
          </w14:textFill>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84"/>
          <w:szCs w:val="84"/>
        </w:rPr>
      </w:pPr>
    </w:p>
    <w:sectPr>
      <w:footerReference r:id="rId6" w:type="default"/>
      <w:pgSz w:w="11906" w:h="16838"/>
      <w:pgMar w:top="1440" w:right="1803" w:bottom="1440" w:left="1803"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PMingLiU">
    <w:panose1 w:val="02020500000000000000"/>
    <w:charset w:val="88"/>
    <w:family w:val="roman"/>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00" w:lineRule="exact"/>
      <w:rPr>
        <w:sz w:val="20"/>
        <w:szCs w:val="20"/>
      </w:rPr>
    </w:pPr>
    <w:r>
      <mc:AlternateContent>
        <mc:Choice Requires="wps">
          <w:drawing>
            <wp:anchor distT="0" distB="0" distL="114300" distR="114300" simplePos="0" relativeHeight="503311360" behindDoc="1" locked="0" layoutInCell="1" allowOverlap="1">
              <wp:simplePos x="0" y="0"/>
              <wp:positionH relativeFrom="page">
                <wp:posOffset>3697605</wp:posOffset>
              </wp:positionH>
              <wp:positionV relativeFrom="page">
                <wp:posOffset>9930765</wp:posOffset>
              </wp:positionV>
              <wp:extent cx="167005" cy="1397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67005" cy="139700"/>
                      </a:xfrm>
                      <a:prstGeom prst="rect">
                        <a:avLst/>
                      </a:prstGeom>
                      <a:noFill/>
                      <a:ln w="9525">
                        <a:noFill/>
                      </a:ln>
                    </wps:spPr>
                    <wps:txbx>
                      <w:txbxContent>
                        <w:p>
                          <w:pPr>
                            <w:spacing w:after="0" w:line="204" w:lineRule="exact"/>
                            <w:ind w:left="40" w:right="-20"/>
                            <w:rPr>
                              <w:rFonts w:ascii="Times New Roman" w:hAnsi="Times New Roman" w:eastAsia="Times New Roman" w:cs="Times New Roman"/>
                              <w:sz w:val="18"/>
                              <w:szCs w:val="18"/>
                            </w:rPr>
                          </w:pPr>
                          <w:r>
                            <w:fldChar w:fldCharType="begin"/>
                          </w:r>
                          <w:r>
                            <w:rPr>
                              <w:rFonts w:ascii="Times New Roman" w:hAnsi="Times New Roman" w:eastAsia="Times New Roman" w:cs="Times New Roman"/>
                              <w:sz w:val="18"/>
                              <w:szCs w:val="18"/>
                            </w:rPr>
                            <w:instrText xml:space="preserve"> PAGE </w:instrText>
                          </w:r>
                          <w:r>
                            <w:fldChar w:fldCharType="separate"/>
                          </w:r>
                          <w:r>
                            <w:rPr>
                              <w:rFonts w:ascii="Times New Roman" w:hAnsi="Times New Roman" w:eastAsia="Times New Roman" w:cs="Times New Roman"/>
                              <w:sz w:val="18"/>
                              <w:szCs w:val="18"/>
                            </w:rPr>
                            <w:t>6</w:t>
                          </w:r>
                          <w:r>
                            <w:fldChar w:fldCharType="end"/>
                          </w:r>
                        </w:p>
                      </w:txbxContent>
                    </wps:txbx>
                    <wps:bodyPr lIns="0" tIns="0" rIns="0" bIns="0" upright="1"/>
                  </wps:wsp>
                </a:graphicData>
              </a:graphic>
            </wp:anchor>
          </w:drawing>
        </mc:Choice>
        <mc:Fallback>
          <w:pict>
            <v:shape id="_x0000_s1026" o:spid="_x0000_s1026" o:spt="202" type="#_x0000_t202" style="position:absolute;left:0pt;margin-left:291.15pt;margin-top:781.95pt;height:11pt;width:13.15pt;mso-position-horizontal-relative:page;mso-position-vertical-relative:page;z-index:-5120;mso-width-relative:page;mso-height-relative:page;" filled="f" stroked="f" coordsize="21600,21600" o:gfxdata="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Oa1JQvbAAAADQEA&#10;AA8AAAAAAAAAAQAgAAAAIgAAAGRycy9kb3ducmV2LnhtbFBLAQIUABQAAAAIAIdO4kDhxZ1RpQEA&#10;ACwDAAAOAAAAAAAAAAEAIAAAACoBAABkcnMvZTJvRG9jLnhtbFBLBQYAAAAABgAGAFkBAABBBQAA&#10;AAA=&#10;">
              <v:fill on="f" focussize="0,0"/>
              <v:stroke on="f"/>
              <v:imagedata o:title=""/>
              <o:lock v:ext="edit" aspectratio="f"/>
              <v:textbox inset="0mm,0mm,0mm,0mm">
                <w:txbxContent>
                  <w:p>
                    <w:pPr>
                      <w:spacing w:after="0" w:line="204" w:lineRule="exact"/>
                      <w:ind w:left="40" w:right="-20"/>
                      <w:rPr>
                        <w:rFonts w:ascii="Times New Roman" w:hAnsi="Times New Roman" w:eastAsia="Times New Roman" w:cs="Times New Roman"/>
                        <w:sz w:val="18"/>
                        <w:szCs w:val="18"/>
                      </w:rPr>
                    </w:pPr>
                    <w:r>
                      <w:fldChar w:fldCharType="begin"/>
                    </w:r>
                    <w:r>
                      <w:rPr>
                        <w:rFonts w:ascii="Times New Roman" w:hAnsi="Times New Roman" w:eastAsia="Times New Roman" w:cs="Times New Roman"/>
                        <w:sz w:val="18"/>
                        <w:szCs w:val="18"/>
                      </w:rPr>
                      <w:instrText xml:space="preserve"> PAGE </w:instrText>
                    </w:r>
                    <w:r>
                      <w:fldChar w:fldCharType="separate"/>
                    </w:r>
                    <w:r>
                      <w:rPr>
                        <w:rFonts w:ascii="Times New Roman" w:hAnsi="Times New Roman" w:eastAsia="Times New Roman" w:cs="Times New Roman"/>
                        <w:sz w:val="18"/>
                        <w:szCs w:val="18"/>
                      </w:rPr>
                      <w:t>6</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t>7</w:t>
                          </w:r>
                          <w:r>
                            <w:rPr>
                              <w:rFonts w:hint="eastAsia"/>
                            </w:rPr>
                            <w:fldChar w:fldCharType="end"/>
                          </w:r>
                        </w:p>
                      </w:txbxContent>
                    </wps:txbx>
                    <wps:bodyPr vert="horz" wrap="none" lIns="0" tIns="0" rIns="0" bIns="0" anchor="t" upright="0">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uDFoJ8oBAAB5AwAADgAAAAAAAAABACAAAAAeAQAAZHJzL2Uyb0Rv&#10;Yy54bWxQSwUGAAAAAAYABgBZAQAAWgUAAAAA&#10;">
              <v:fill on="f" focussize="0,0"/>
              <v:stroke on="f"/>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7</w:t>
                    </w:r>
                    <w:r>
                      <w:rPr>
                        <w:rFonts w:hint="eastAsia"/>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M6p&#10;ebnPAAAABQEAAA8AAAAAAAAAAQAgAAAAIgAAAGRycy9kb3ducmV2LnhtbFBLAQIUABQAAAAIAIdO&#10;4kBd0CqsugEAAGIDAAAOAAAAAAAAAAEAIAAAAB4BAABkcnMvZTJvRG9jLnhtbFBLBQYAAAAABgAG&#10;AFkBAABKBQAAAAA=&#10;">
              <v:fill on="f" focussize="0,0"/>
              <v:stroke on="f"/>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222F42"/>
    <w:rsid w:val="00092E9F"/>
    <w:rsid w:val="00241D6A"/>
    <w:rsid w:val="005E0307"/>
    <w:rsid w:val="005E5A9D"/>
    <w:rsid w:val="005E6145"/>
    <w:rsid w:val="00835B6B"/>
    <w:rsid w:val="00B824F2"/>
    <w:rsid w:val="00E75848"/>
    <w:rsid w:val="05916A36"/>
    <w:rsid w:val="104355F1"/>
    <w:rsid w:val="13F106A8"/>
    <w:rsid w:val="1D9E79D6"/>
    <w:rsid w:val="26E57E8B"/>
    <w:rsid w:val="28265A2A"/>
    <w:rsid w:val="28D878CD"/>
    <w:rsid w:val="31494BCD"/>
    <w:rsid w:val="35526266"/>
    <w:rsid w:val="396D5533"/>
    <w:rsid w:val="3E7A4202"/>
    <w:rsid w:val="3EDC4B6D"/>
    <w:rsid w:val="3EE36A25"/>
    <w:rsid w:val="43603CEB"/>
    <w:rsid w:val="44890A8C"/>
    <w:rsid w:val="45222F42"/>
    <w:rsid w:val="461360DA"/>
    <w:rsid w:val="472A34F9"/>
    <w:rsid w:val="48B676D7"/>
    <w:rsid w:val="4B020017"/>
    <w:rsid w:val="52261CA9"/>
    <w:rsid w:val="60421676"/>
    <w:rsid w:val="609D6910"/>
    <w:rsid w:val="66516B3F"/>
    <w:rsid w:val="699A1B94"/>
    <w:rsid w:val="6C92316B"/>
    <w:rsid w:val="6F42206E"/>
    <w:rsid w:val="751203EA"/>
    <w:rsid w:val="770259B3"/>
    <w:rsid w:val="78866231"/>
    <w:rsid w:val="7BCB313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font01"/>
    <w:basedOn w:val="5"/>
    <w:qFormat/>
    <w:uiPriority w:val="0"/>
    <w:rPr>
      <w:rFonts w:hint="eastAsia" w:ascii="宋体" w:hAnsi="宋体" w:eastAsia="宋体" w:cs="宋体"/>
      <w:b/>
      <w:color w:val="000000"/>
      <w:sz w:val="24"/>
      <w:szCs w:val="24"/>
      <w:u w:val="none"/>
    </w:rPr>
  </w:style>
  <w:style w:type="character" w:customStyle="1" w:styleId="8">
    <w:name w:val="font11"/>
    <w:basedOn w:val="5"/>
    <w:qFormat/>
    <w:uiPriority w:val="0"/>
    <w:rPr>
      <w:rFonts w:hint="eastAsia" w:ascii="宋体" w:hAnsi="宋体" w:eastAsia="宋体" w:cs="宋体"/>
      <w:color w:val="000000"/>
      <w:sz w:val="24"/>
      <w:szCs w:val="24"/>
      <w:u w:val="none"/>
    </w:rPr>
  </w:style>
  <w:style w:type="character" w:customStyle="1" w:styleId="9">
    <w:name w:val="font31"/>
    <w:basedOn w:val="5"/>
    <w:qFormat/>
    <w:uiPriority w:val="0"/>
    <w:rPr>
      <w:rFonts w:hint="eastAsia" w:ascii="宋体" w:hAnsi="宋体" w:eastAsia="宋体" w:cs="宋体"/>
      <w:color w:val="000000"/>
      <w:sz w:val="22"/>
      <w:szCs w:val="22"/>
      <w:u w:val="none"/>
    </w:rPr>
  </w:style>
  <w:style w:type="character" w:customStyle="1" w:styleId="10">
    <w:name w:val="font21"/>
    <w:basedOn w:val="5"/>
    <w:qFormat/>
    <w:uiPriority w:val="0"/>
    <w:rPr>
      <w:rFonts w:hint="eastAsia" w:ascii="宋体" w:hAnsi="宋体" w:eastAsia="宋体" w:cs="宋体"/>
      <w:color w:val="000000"/>
      <w:sz w:val="24"/>
      <w:szCs w:val="24"/>
      <w:u w:val="none"/>
    </w:rPr>
  </w:style>
  <w:style w:type="character" w:customStyle="1" w:styleId="11">
    <w:name w:val="font61"/>
    <w:basedOn w:val="5"/>
    <w:qFormat/>
    <w:uiPriority w:val="0"/>
    <w:rPr>
      <w:rFonts w:hint="eastAsia" w:ascii="宋体" w:hAnsi="宋体" w:eastAsia="宋体" w:cs="宋体"/>
      <w:color w:val="000000"/>
      <w:sz w:val="24"/>
      <w:szCs w:val="24"/>
      <w:u w:val="none"/>
    </w:rPr>
  </w:style>
  <w:style w:type="paragraph" w:customStyle="1" w:styleId="12">
    <w:name w:val="Normal_1"/>
    <w:qFormat/>
    <w:uiPriority w:val="0"/>
    <w:pPr>
      <w:spacing w:before="120" w:after="240"/>
      <w:jc w:val="both"/>
    </w:pPr>
    <w:rPr>
      <w:rFonts w:ascii="Times New Roman" w:hAnsi="Times New Roman" w:eastAsia="Times New Roman" w:cs="Times New Roman"/>
      <w:sz w:val="22"/>
      <w:szCs w:val="22"/>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7</Pages>
  <Words>221</Words>
  <Characters>1265</Characters>
  <Lines>10</Lines>
  <Paragraphs>2</Paragraphs>
  <TotalTime>1</TotalTime>
  <ScaleCrop>false</ScaleCrop>
  <LinksUpToDate>false</LinksUpToDate>
  <CharactersWithSpaces>1484</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2018-12-15T10:18:00Z</dcterms:created>
  <dc:creator>李正鹏</dc:creator>
  <cp:lastModifiedBy>李正鹏</cp:lastModifiedBy>
  <cp:lastPrinted>2018-12-31T03:51:28Z</cp:lastPrinted>
  <dcterms:modified xsi:type="dcterms:W3CDTF">2018-12-31T04:10:42Z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