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/>
          <w:sz w:val="84"/>
        </w:rPr>
        <w:t>共青团乃东区委员会2016年部门决算</w:t>
      </w: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bookmarkStart w:id="0" w:name="page2"/>
      <w:bookmarkEnd w:id="0"/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 w:val="0"/>
        <w:snapToGrid w:val="0"/>
        <w:spacing w:line="360" w:lineRule="auto"/>
        <w:ind w:left="3100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目 录</w:t>
      </w:r>
    </w:p>
    <w:p>
      <w:pPr>
        <w:widowControl w:val="0"/>
        <w:adjustRightInd w:val="0"/>
        <w:snapToGrid w:val="0"/>
        <w:spacing w:line="360" w:lineRule="auto"/>
        <w:rPr>
          <w:rFonts w:hint="eastAsia" w:ascii="黑体" w:hAnsi="黑体" w:eastAsia="黑体" w:cs="黑体"/>
          <w:szCs w:val="21"/>
        </w:rPr>
      </w:pPr>
    </w:p>
    <w:p>
      <w:pPr>
        <w:widowControl w:val="0"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第一部分共青团乃东区委员会概况</w:t>
      </w:r>
    </w:p>
    <w:p>
      <w:pPr>
        <w:widowControl w:val="0"/>
        <w:adjustRightInd w:val="0"/>
        <w:snapToGrid w:val="0"/>
        <w:spacing w:line="360" w:lineRule="auto"/>
        <w:ind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一、部门预算单位构成</w:t>
      </w:r>
    </w:p>
    <w:p>
      <w:pPr>
        <w:widowControl w:val="0"/>
        <w:adjustRightInd w:val="0"/>
        <w:snapToGrid w:val="0"/>
        <w:spacing w:line="360" w:lineRule="auto"/>
        <w:ind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二、部门职责和机构设置</w:t>
      </w:r>
    </w:p>
    <w:p>
      <w:pPr>
        <w:widowControl w:val="0"/>
        <w:adjustRightInd w:val="0"/>
        <w:snapToGrid w:val="0"/>
        <w:spacing w:line="360" w:lineRule="auto"/>
        <w:ind w:left="2200" w:hanging="2200" w:hangingChars="5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第二部分共青团乃东区委员会2016年</w:t>
      </w:r>
    </w:p>
    <w:p>
      <w:pPr>
        <w:widowControl w:val="0"/>
        <w:adjustRightInd w:val="0"/>
        <w:snapToGrid w:val="0"/>
        <w:spacing w:line="360" w:lineRule="auto"/>
        <w:ind w:firstLine="1760" w:firstLineChars="4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部门决算表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财政拨款收支总表 </w:t>
      </w:r>
    </w:p>
    <w:p>
      <w:pPr>
        <w:widowControl w:val="0"/>
        <w:adjustRightInd w:val="0"/>
        <w:snapToGrid w:val="0"/>
        <w:spacing w:line="360" w:lineRule="auto"/>
        <w:ind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二、一般公共预算支出表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60" w:lineRule="auto"/>
        <w:ind w:left="720" w:right="146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一般公共预算基本支出表</w:t>
      </w:r>
    </w:p>
    <w:p>
      <w:pPr>
        <w:widowControl w:val="0"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四、一般公共预算“三公”经费支出表</w:t>
      </w:r>
    </w:p>
    <w:p>
      <w:pPr>
        <w:widowControl w:val="0"/>
        <w:adjustRightInd w:val="0"/>
        <w:snapToGrid w:val="0"/>
        <w:spacing w:line="360" w:lineRule="auto"/>
        <w:ind w:left="720" w:right="146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五、政府性基金预算支出表</w:t>
      </w:r>
    </w:p>
    <w:p>
      <w:pPr>
        <w:widowControl w:val="0"/>
        <w:adjustRightInd w:val="0"/>
        <w:snapToGrid w:val="0"/>
        <w:spacing w:line="360" w:lineRule="auto"/>
        <w:ind w:right="1460"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六、部门收支总表</w:t>
      </w:r>
    </w:p>
    <w:p>
      <w:pPr>
        <w:widowControl w:val="0"/>
        <w:adjustRightInd w:val="0"/>
        <w:snapToGrid w:val="0"/>
        <w:spacing w:line="360" w:lineRule="auto"/>
        <w:ind w:right="1460"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七、部门收入总表</w:t>
      </w:r>
    </w:p>
    <w:p>
      <w:pPr>
        <w:widowControl w:val="0"/>
        <w:adjustRightInd w:val="0"/>
        <w:snapToGrid w:val="0"/>
        <w:spacing w:line="360" w:lineRule="auto"/>
        <w:ind w:right="1460"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八、部门支出总表</w:t>
      </w:r>
    </w:p>
    <w:p>
      <w:pPr>
        <w:widowControl w:val="0"/>
        <w:adjustRightInd w:val="0"/>
        <w:snapToGrid w:val="0"/>
        <w:spacing w:line="360" w:lineRule="auto"/>
        <w:ind w:left="1320" w:hanging="1320" w:hangingChars="3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第三部分共青团乃东区委员会2016年</w:t>
      </w:r>
    </w:p>
    <w:p>
      <w:pPr>
        <w:widowControl w:val="0"/>
        <w:adjustRightInd w:val="0"/>
        <w:snapToGrid w:val="0"/>
        <w:spacing w:line="360" w:lineRule="auto"/>
        <w:ind w:left="1342" w:leftChars="639" w:firstLine="440" w:firstLineChars="1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部门决算数据分析</w:t>
      </w:r>
    </w:p>
    <w:p>
      <w:pPr>
        <w:spacing w:line="576" w:lineRule="exact"/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44"/>
          <w:szCs w:val="44"/>
        </w:rPr>
        <w:t>第四部分 名词解释</w:t>
      </w:r>
    </w:p>
    <w:p>
      <w:pPr>
        <w:spacing w:line="576" w:lineRule="exact"/>
        <w:jc w:val="left"/>
        <w:rPr>
          <w:sz w:val="24"/>
        </w:rPr>
        <w:sectPr>
          <w:footerReference r:id="rId3" w:type="default"/>
          <w:footerReference r:id="rId4" w:type="even"/>
          <w:pgSz w:w="11900" w:h="16838"/>
          <w:pgMar w:top="1440" w:right="1640" w:bottom="732" w:left="1800" w:header="720" w:footer="720" w:gutter="0"/>
          <w:pgNumType w:start="1"/>
          <w:cols w:space="720" w:num="1"/>
        </w:sectPr>
      </w:pPr>
    </w:p>
    <w:p>
      <w:pPr>
        <w:spacing w:line="576" w:lineRule="exact"/>
        <w:jc w:val="left"/>
        <w:rPr>
          <w:sz w:val="24"/>
        </w:rPr>
        <w:sectPr>
          <w:footerReference r:id="rId5" w:type="default"/>
          <w:type w:val="continuous"/>
          <w:pgSz w:w="11900" w:h="16838"/>
          <w:pgMar w:top="1440" w:right="1640" w:bottom="732" w:left="1800" w:header="720" w:footer="720" w:gutter="0"/>
          <w:pgNumType w:start="1"/>
          <w:cols w:space="720" w:num="1"/>
        </w:sect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spacing w:line="576" w:lineRule="exact"/>
        <w:jc w:val="left"/>
        <w:rPr>
          <w:sz w:val="24"/>
        </w:rPr>
      </w:pPr>
    </w:p>
    <w:p>
      <w:pPr>
        <w:numPr>
          <w:ilvl w:val="0"/>
          <w:numId w:val="3"/>
        </w:numPr>
        <w:overflowPunct w:val="0"/>
        <w:spacing w:line="282" w:lineRule="auto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分</w:t>
      </w:r>
      <w:r>
        <w:rPr>
          <w:rFonts w:ascii="黑体" w:hAnsi="黑体" w:eastAsia="黑体"/>
          <w:sz w:val="84"/>
        </w:rPr>
        <w:t xml:space="preserve"> </w:t>
      </w:r>
      <w:r>
        <w:rPr>
          <w:rFonts w:hint="eastAsia" w:ascii="黑体" w:hAnsi="黑体" w:eastAsia="黑体"/>
          <w:sz w:val="84"/>
        </w:rPr>
        <w:t>共青团乃东区委员会概况</w:t>
      </w:r>
    </w:p>
    <w:p>
      <w:pPr>
        <w:overflowPunct w:val="0"/>
        <w:spacing w:line="282" w:lineRule="auto"/>
        <w:rPr>
          <w:rFonts w:hint="eastAsia" w:ascii="黑体" w:hAnsi="黑体" w:eastAsia="黑体"/>
          <w:sz w:val="84"/>
        </w:rPr>
      </w:pPr>
    </w:p>
    <w:p>
      <w:pPr>
        <w:overflowPunct w:val="0"/>
        <w:spacing w:line="282" w:lineRule="auto"/>
        <w:rPr>
          <w:rFonts w:hint="eastAsia" w:ascii="黑体" w:hAnsi="黑体" w:eastAsia="黑体"/>
          <w:sz w:val="84"/>
        </w:rPr>
      </w:pPr>
    </w:p>
    <w:p>
      <w:pPr>
        <w:overflowPunct w:val="0"/>
        <w:spacing w:line="282" w:lineRule="auto"/>
        <w:rPr>
          <w:rFonts w:hint="eastAsia" w:ascii="黑体" w:hAnsi="黑体" w:eastAsia="黑体"/>
          <w:sz w:val="84"/>
        </w:rPr>
      </w:pPr>
    </w:p>
    <w:p>
      <w:pPr>
        <w:overflowPunct w:val="0"/>
        <w:spacing w:line="282" w:lineRule="auto"/>
        <w:rPr>
          <w:rFonts w:hint="eastAsia" w:ascii="黑体" w:hAnsi="黑体" w:eastAsia="黑体"/>
          <w:sz w:val="84"/>
        </w:rPr>
      </w:pPr>
    </w:p>
    <w:p>
      <w:pPr>
        <w:overflowPunct w:val="0"/>
        <w:spacing w:line="282" w:lineRule="auto"/>
        <w:rPr>
          <w:rFonts w:hint="eastAsia" w:ascii="黑体" w:hAnsi="黑体" w:eastAsia="黑体"/>
          <w:sz w:val="84"/>
        </w:rPr>
      </w:pPr>
    </w:p>
    <w:p>
      <w:pPr>
        <w:overflowPunct w:val="0"/>
        <w:spacing w:line="282" w:lineRule="auto"/>
        <w:rPr>
          <w:rFonts w:ascii="黑体" w:hAnsi="黑体" w:eastAsia="黑体"/>
          <w:sz w:val="84"/>
        </w:rPr>
        <w:sectPr>
          <w:footerReference r:id="rId6" w:type="default"/>
          <w:pgSz w:w="11900" w:h="16838"/>
          <w:pgMar w:top="1440" w:right="1640" w:bottom="732" w:left="1800" w:header="720" w:footer="720" w:gutter="0"/>
          <w:pgNumType w:start="1"/>
          <w:cols w:space="720" w:num="1"/>
        </w:sectPr>
      </w:pPr>
    </w:p>
    <w:p>
      <w:pPr>
        <w:spacing w:line="81" w:lineRule="exact"/>
        <w:jc w:val="left"/>
        <w:rPr>
          <w:sz w:val="24"/>
        </w:rPr>
      </w:pPr>
      <w:bookmarkStart w:id="1" w:name="page4"/>
      <w:bookmarkEnd w:id="1"/>
    </w:p>
    <w:p>
      <w:pPr>
        <w:jc w:val="left"/>
        <w:rPr>
          <w:sz w:val="24"/>
        </w:rPr>
      </w:pPr>
      <w:r>
        <w:rPr>
          <w:rFonts w:hint="eastAsia" w:ascii="黑体" w:hAnsi="黑体" w:eastAsia="黑体"/>
          <w:sz w:val="36"/>
        </w:rPr>
        <w:t>一、部门预算单位构成</w:t>
      </w:r>
    </w:p>
    <w:p>
      <w:pPr>
        <w:spacing w:line="576" w:lineRule="exact"/>
        <w:ind w:firstLine="640" w:firstLineChars="200"/>
        <w:jc w:val="left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纳入共青团乃东区委员会</w:t>
      </w:r>
      <w:r>
        <w:rPr>
          <w:rFonts w:ascii="宋体" w:hAnsi="宋体" w:cs="宋体"/>
          <w:sz w:val="32"/>
        </w:rPr>
        <w:t>201</w:t>
      </w:r>
      <w:r>
        <w:rPr>
          <w:rFonts w:hint="eastAsia" w:ascii="宋体" w:hAnsi="宋体" w:cs="宋体"/>
          <w:sz w:val="32"/>
        </w:rPr>
        <w:t>6年预算编制范围的单位包括共青团乃东区委员会一个部门。</w:t>
      </w:r>
    </w:p>
    <w:p>
      <w:pPr>
        <w:jc w:val="left"/>
        <w:rPr>
          <w:sz w:val="24"/>
        </w:rPr>
      </w:pPr>
      <w:r>
        <w:rPr>
          <w:rFonts w:hint="eastAsia" w:ascii="黑体" w:hAnsi="黑体" w:eastAsia="黑体"/>
          <w:sz w:val="36"/>
        </w:rPr>
        <w:t>二、部门职责和机构设置</w:t>
      </w:r>
    </w:p>
    <w:p>
      <w:pPr>
        <w:jc w:val="left"/>
        <w:rPr>
          <w:sz w:val="24"/>
        </w:rPr>
      </w:pPr>
      <w:r>
        <w:rPr>
          <w:rFonts w:hint="eastAsia" w:ascii="宋体" w:hAnsi="宋体"/>
          <w:sz w:val="32"/>
        </w:rPr>
        <w:t>（一）</w:t>
      </w:r>
      <w:r>
        <w:rPr>
          <w:rFonts w:hint="eastAsia" w:ascii="宋体" w:hAnsi="宋体"/>
          <w:b/>
          <w:sz w:val="32"/>
        </w:rPr>
        <w:t>部门职责。</w:t>
      </w:r>
    </w:p>
    <w:p>
      <w:pPr>
        <w:spacing w:line="576" w:lineRule="exact"/>
        <w:ind w:firstLine="640" w:firstLineChars="20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共青团乃东区委员会是全县各级团组织的领导机关。正科级建制。其主要职责是：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贯彻执行区委和团市委的决定、指示，领导全区共青团工作、和少先队工作。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根据党的中心任务，研究制定全区团的工作计划和具体任务，检查、督促全区基层组织各项工作任务的落实，加强团的组织、思想建设和团的干部队伍建设。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调查了解青年的思想状况，反映青年的意见和要求，代表青年的利益，参与处理协调各种鱼青年相关的活动。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组织全区青少年思想教育和文化宣传活动，开展青少年事业发展的工作，动员、组织全县青年为两个文明建设做贡献。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负责青年联合会和青年统战的工作，负责全区的青少年友好交流工作。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负责组织、指导各级团组织办好经济实体，募集青少年事业发展经费，承办实施全区“希望工程”的有关工作。</w:t>
      </w:r>
    </w:p>
    <w:p>
      <w:pPr>
        <w:numPr>
          <w:ilvl w:val="0"/>
          <w:numId w:val="4"/>
        </w:numPr>
        <w:spacing w:line="576" w:lineRule="exact"/>
        <w:ind w:left="420"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承办区委、区政府交办的其他事项。</w:t>
      </w:r>
    </w:p>
    <w:p>
      <w:pPr>
        <w:jc w:val="left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（二）部门机构设置。</w:t>
      </w:r>
    </w:p>
    <w:p>
      <w:pPr>
        <w:spacing w:line="576" w:lineRule="exact"/>
        <w:ind w:firstLine="640" w:firstLineChars="200"/>
        <w:jc w:val="left"/>
        <w:rPr>
          <w:rFonts w:hint="eastAsia"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共青团乃东区委员会不设内设机构。行政编制</w:t>
      </w:r>
      <w:r>
        <w:rPr>
          <w:rFonts w:ascii="宋体" w:hAnsi="宋体" w:cs="宋体"/>
          <w:sz w:val="32"/>
          <w:szCs w:val="22"/>
        </w:rPr>
        <w:t>3</w:t>
      </w:r>
      <w:r>
        <w:rPr>
          <w:rFonts w:hint="eastAsia" w:ascii="宋体" w:hAnsi="宋体" w:cs="宋体"/>
          <w:sz w:val="32"/>
          <w:szCs w:val="22"/>
        </w:rPr>
        <w:t>名；领导职数</w:t>
      </w:r>
      <w:r>
        <w:rPr>
          <w:rFonts w:ascii="宋体" w:hAnsi="宋体" w:cs="宋体"/>
          <w:sz w:val="32"/>
          <w:szCs w:val="22"/>
        </w:rPr>
        <w:t>2</w:t>
      </w:r>
      <w:r>
        <w:rPr>
          <w:rFonts w:hint="eastAsia" w:ascii="宋体" w:hAnsi="宋体" w:cs="宋体"/>
          <w:sz w:val="32"/>
          <w:szCs w:val="22"/>
        </w:rPr>
        <w:t>名。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 xml:space="preserve">共青团乃东区委员会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130"/>
        <w:gridCol w:w="1828"/>
        <w:gridCol w:w="1130"/>
        <w:gridCol w:w="1560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670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828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2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7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660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8"/>
        <w:gridCol w:w="1560"/>
        <w:gridCol w:w="1188"/>
        <w:gridCol w:w="1081"/>
        <w:gridCol w:w="1344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p/>
    <w:p/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1666"/>
        <w:gridCol w:w="3277"/>
        <w:gridCol w:w="1139"/>
        <w:gridCol w:w="1139"/>
        <w:gridCol w:w="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5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338,158.00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338,158.00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84,095.00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84,095.00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254,063.00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254,063.00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126,244.30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126,244.30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44,709.40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44,709.40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30,000.00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30,000.00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1,440.00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1,440.00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5,578.65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5,578.65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4,020.00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4,020.00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666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200.00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29,167.00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29,167.00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3,833.00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3,833.00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7,296.25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7,296.25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9,022.70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9,022.70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7,680.00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7,680.00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1,342.70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1,342.70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473,425.00 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347,180.70 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126,244.30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87"/>
        <w:gridCol w:w="1103"/>
        <w:gridCol w:w="209"/>
        <w:gridCol w:w="1154"/>
        <w:gridCol w:w="209"/>
        <w:gridCol w:w="1103"/>
        <w:gridCol w:w="388"/>
        <w:gridCol w:w="1103"/>
        <w:gridCol w:w="209"/>
        <w:gridCol w:w="1154"/>
        <w:gridCol w:w="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22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3,833.00 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3,833.00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3,833.00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3833.00 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3833.00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3,833.00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7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4"/>
        <w:gridCol w:w="2697"/>
        <w:gridCol w:w="2019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638,425.00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638,425.00 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638,425.00 </w:t>
            </w:r>
          </w:p>
        </w:tc>
      </w:tr>
    </w:tbl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712"/>
        <w:gridCol w:w="1080"/>
        <w:gridCol w:w="382"/>
        <w:gridCol w:w="1316"/>
        <w:gridCol w:w="957"/>
        <w:gridCol w:w="382"/>
        <w:gridCol w:w="571"/>
        <w:gridCol w:w="476"/>
        <w:gridCol w:w="571"/>
        <w:gridCol w:w="38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2012901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2012999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510"/>
        <w:gridCol w:w="1080"/>
        <w:gridCol w:w="1080"/>
        <w:gridCol w:w="1080"/>
        <w:gridCol w:w="875"/>
        <w:gridCol w:w="1129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50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8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2012901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2012999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473,425.00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165,000.00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 xml:space="preserve">共青团乃东区委员会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群众团体事务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473425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338158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126244.3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9022.7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）其他群众团体事务支出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165000元。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473425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338158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71.43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126244.3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26.66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9022.7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1.91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3833元，实际支出3833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三公经费决算支出0元，同比增加3833元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2015年公务接待费决算支出0元。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3833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3833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2015年公务用车运行维护费决算支出0，同比增加3833元。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638425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  <w:bookmarkStart w:id="2" w:name="_GoBack"/>
      <w:bookmarkEnd w:id="2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8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  <w:ind w:firstLine="4140" w:firstLineChars="23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  <w:ind w:firstLine="4140" w:firstLineChars="230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Style w:val="6"/>
        <w:rFonts w:hint="eastAsia"/>
      </w:rPr>
    </w:pPr>
  </w:p>
  <w:p>
    <w:pPr>
      <w:pStyle w:val="2"/>
      <w:ind w:firstLine="4140" w:firstLineChars="230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47056"/>
    <w:multiLevelType w:val="singleLevel"/>
    <w:tmpl w:val="D84470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38D9AD"/>
    <w:multiLevelType w:val="singleLevel"/>
    <w:tmpl w:val="1F38D9A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265290F6"/>
    <w:multiLevelType w:val="singleLevel"/>
    <w:tmpl w:val="265290F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FBE2D1"/>
    <w:multiLevelType w:val="singleLevel"/>
    <w:tmpl w:val="5AFBE2D1"/>
    <w:lvl w:ilvl="0" w:tentative="0">
      <w:start w:val="1"/>
      <w:numFmt w:val="chineseCounting"/>
      <w:suff w:val="nothing"/>
      <w:lvlText w:val="第%1部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0E75848"/>
    <w:rsid w:val="05916A36"/>
    <w:rsid w:val="0D137D19"/>
    <w:rsid w:val="13F106A8"/>
    <w:rsid w:val="17C05461"/>
    <w:rsid w:val="1D9E79D6"/>
    <w:rsid w:val="26E57E8B"/>
    <w:rsid w:val="28265A2A"/>
    <w:rsid w:val="28D878CD"/>
    <w:rsid w:val="396D5533"/>
    <w:rsid w:val="3EDC4B6D"/>
    <w:rsid w:val="3EE36A25"/>
    <w:rsid w:val="414941D9"/>
    <w:rsid w:val="43603CEB"/>
    <w:rsid w:val="44890A8C"/>
    <w:rsid w:val="45222F42"/>
    <w:rsid w:val="461360DA"/>
    <w:rsid w:val="472A34F9"/>
    <w:rsid w:val="48B676D7"/>
    <w:rsid w:val="4B020017"/>
    <w:rsid w:val="52261CA9"/>
    <w:rsid w:val="60421676"/>
    <w:rsid w:val="609D6910"/>
    <w:rsid w:val="66516B3F"/>
    <w:rsid w:val="699A1B94"/>
    <w:rsid w:val="6C92316B"/>
    <w:rsid w:val="74B37C4F"/>
    <w:rsid w:val="751203EA"/>
    <w:rsid w:val="770259B3"/>
    <w:rsid w:val="78866231"/>
    <w:rsid w:val="7BCB3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3">
    <w:name w:val="Normal_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customStyle="1" w:styleId="14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11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2018-12-31T08:13:08Z</cp:lastPrinted>
  <dcterms:modified xsi:type="dcterms:W3CDTF">2018-12-31T08:20:55Z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