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p>
    <w:p>
      <w:pPr>
        <w:jc w:val="center"/>
        <w:rPr>
          <w:sz w:val="84"/>
          <w:szCs w:val="84"/>
        </w:rPr>
      </w:pPr>
    </w:p>
    <w:p>
      <w:pPr>
        <w:jc w:val="center"/>
        <w:rPr>
          <w:sz w:val="84"/>
          <w:szCs w:val="84"/>
        </w:rPr>
      </w:pPr>
    </w:p>
    <w:p/>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乃东区人民政府办公室</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2016年部门决算</w:t>
      </w: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sz w:val="84"/>
          <w:szCs w:val="84"/>
        </w:rPr>
      </w:pP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rPr>
          <w:rFonts w:ascii="仿宋_GB2312" w:hAnsi="仿宋_GB2312" w:eastAsia="仿宋_GB2312" w:cs="仿宋_GB2312"/>
          <w:sz w:val="32"/>
          <w:szCs w:val="32"/>
        </w:rPr>
      </w:pPr>
    </w:p>
    <w:p>
      <w:pPr>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乃东区人民政府办公室概况</w:t>
      </w:r>
    </w:p>
    <w:p>
      <w:pPr>
        <w:numPr>
          <w:ilvl w:val="0"/>
          <w:numId w:val="2"/>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w:t>
      </w:r>
    </w:p>
    <w:p>
      <w:p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二、内设机构。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第二部分乃东区人民政府办公室2016年部门决算表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部门收支总表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部门收入总表</w:t>
      </w:r>
    </w:p>
    <w:p>
      <w:pPr>
        <w:numPr>
          <w:ilvl w:val="0"/>
          <w:numId w:val="3"/>
        </w:numPr>
        <w:ind w:firstLine="838" w:firstLineChars="262"/>
        <w:rPr>
          <w:rFonts w:ascii="仿宋_GB2312" w:hAnsi="仿宋_GB2312" w:eastAsia="仿宋_GB2312" w:cs="仿宋_GB2312"/>
          <w:sz w:val="32"/>
          <w:szCs w:val="32"/>
        </w:rPr>
      </w:pPr>
      <w:r>
        <w:rPr>
          <w:rFonts w:hint="eastAsia" w:ascii="仿宋_GB2312" w:hAnsi="仿宋_GB2312" w:eastAsia="仿宋_GB2312" w:cs="仿宋_GB2312"/>
          <w:sz w:val="32"/>
          <w:szCs w:val="32"/>
        </w:rPr>
        <w:t>部门支出总表</w:t>
      </w:r>
    </w:p>
    <w:p>
      <w:pPr>
        <w:ind w:left="1600"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第三部分乃东区人民政府办公室2016年部门决算数据分析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名称解释</w:t>
      </w:r>
    </w:p>
    <w:p>
      <w:pPr>
        <w:jc w:val="center"/>
        <w:rPr>
          <w:sz w:val="84"/>
          <w:szCs w:val="84"/>
        </w:rPr>
      </w:pPr>
    </w:p>
    <w:p>
      <w:pPr>
        <w:jc w:val="center"/>
        <w:rPr>
          <w:sz w:val="84"/>
          <w:szCs w:val="84"/>
        </w:rPr>
      </w:pPr>
    </w:p>
    <w:p>
      <w:pPr>
        <w:jc w:val="center"/>
        <w:rPr>
          <w:sz w:val="84"/>
          <w:szCs w:val="84"/>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sz w:val="84"/>
          <w:szCs w:val="84"/>
        </w:rPr>
      </w:pPr>
    </w:p>
    <w:p>
      <w:pPr>
        <w:jc w:val="center"/>
        <w:rPr>
          <w:sz w:val="84"/>
          <w:szCs w:val="84"/>
        </w:rPr>
      </w:pPr>
    </w:p>
    <w:p>
      <w:pPr>
        <w:jc w:val="center"/>
        <w:rPr>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第一部分</w:t>
      </w:r>
    </w:p>
    <w:p/>
    <w:p/>
    <w:p>
      <w:pPr>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乃东区人民政府办公室概况</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spacing w:line="576"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乃东区人民政府办公室概况</w:t>
      </w:r>
    </w:p>
    <w:p>
      <w:pPr>
        <w:spacing w:line="576" w:lineRule="exact"/>
        <w:ind w:firstLine="640"/>
        <w:rPr>
          <w:rFonts w:eastAsia="黑体"/>
          <w:sz w:val="32"/>
        </w:rPr>
      </w:pPr>
    </w:p>
    <w:p>
      <w:pPr>
        <w:spacing w:line="576" w:lineRule="exact"/>
        <w:ind w:firstLine="640"/>
        <w:rPr>
          <w:rFonts w:eastAsia="黑体"/>
          <w:sz w:val="32"/>
        </w:rPr>
      </w:pPr>
      <w:r>
        <w:rPr>
          <w:rFonts w:hint="eastAsia" w:eastAsia="黑体"/>
          <w:sz w:val="32"/>
        </w:rPr>
        <w:t>一</w:t>
      </w:r>
      <w:r>
        <w:rPr>
          <w:rFonts w:eastAsia="黑体"/>
          <w:sz w:val="32"/>
        </w:rPr>
        <w:t>、主要职责</w:t>
      </w:r>
    </w:p>
    <w:p>
      <w:pPr>
        <w:numPr>
          <w:ilvl w:val="0"/>
          <w:numId w:val="4"/>
        </w:numPr>
        <w:spacing w:line="576" w:lineRule="exact"/>
        <w:ind w:firstLine="640" w:firstLineChars="200"/>
        <w:rPr>
          <w:rFonts w:eastAsia="仿宋_GB2312"/>
          <w:color w:val="000000"/>
          <w:sz w:val="32"/>
        </w:rPr>
      </w:pPr>
      <w:r>
        <w:rPr>
          <w:rFonts w:eastAsia="仿宋_GB2312"/>
          <w:color w:val="000000"/>
          <w:sz w:val="32"/>
        </w:rPr>
        <w:t>负责全区人民政府各类会议和区政府领导同志重要活动组织、协调工作，协助区政府领导同志组织实施会议决定事项。</w:t>
      </w:r>
    </w:p>
    <w:p>
      <w:pPr>
        <w:numPr>
          <w:ilvl w:val="0"/>
          <w:numId w:val="4"/>
        </w:numPr>
        <w:spacing w:line="576" w:lineRule="exact"/>
        <w:ind w:firstLine="640" w:firstLineChars="200"/>
        <w:rPr>
          <w:rFonts w:eastAsia="仿宋_GB2312"/>
          <w:color w:val="000000"/>
          <w:sz w:val="32"/>
        </w:rPr>
      </w:pPr>
      <w:r>
        <w:rPr>
          <w:rFonts w:eastAsia="仿宋_GB2312"/>
          <w:color w:val="000000"/>
          <w:sz w:val="32"/>
        </w:rPr>
        <w:t>负责组织起草或审核以区政府、政府办公室名义发布的公文，领导讲话和领导交办的其它文字工作。</w:t>
      </w:r>
    </w:p>
    <w:p>
      <w:pPr>
        <w:numPr>
          <w:ilvl w:val="0"/>
          <w:numId w:val="4"/>
        </w:numPr>
        <w:spacing w:line="576" w:lineRule="exact"/>
        <w:ind w:firstLine="640" w:firstLineChars="200"/>
        <w:rPr>
          <w:rFonts w:eastAsia="仿宋_GB2312"/>
          <w:color w:val="000000"/>
          <w:sz w:val="32"/>
        </w:rPr>
      </w:pPr>
      <w:r>
        <w:rPr>
          <w:rFonts w:eastAsia="仿宋_GB2312"/>
          <w:color w:val="000000"/>
          <w:sz w:val="32"/>
        </w:rPr>
        <w:t>组织或参与全区改革开放和经济社会发展中重大问题的调查研究，并提出政策性建议和咨询意见。</w:t>
      </w:r>
    </w:p>
    <w:p>
      <w:pPr>
        <w:numPr>
          <w:ilvl w:val="0"/>
          <w:numId w:val="4"/>
        </w:numPr>
        <w:spacing w:line="576" w:lineRule="exact"/>
        <w:ind w:firstLine="640" w:firstLineChars="200"/>
        <w:rPr>
          <w:rFonts w:eastAsia="仿宋_GB2312"/>
          <w:color w:val="000000"/>
          <w:sz w:val="32"/>
        </w:rPr>
      </w:pPr>
      <w:r>
        <w:rPr>
          <w:rFonts w:eastAsia="仿宋_GB2312"/>
          <w:color w:val="000000"/>
          <w:sz w:val="32"/>
        </w:rPr>
        <w:t>研究政府各部门，各乡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人民政府报来的请示政府领导的事项，提出审核意见报政府领导审批。</w:t>
      </w:r>
    </w:p>
    <w:p>
      <w:pPr>
        <w:numPr>
          <w:ilvl w:val="0"/>
          <w:numId w:val="4"/>
        </w:numPr>
        <w:spacing w:line="576" w:lineRule="exact"/>
        <w:ind w:firstLine="640" w:firstLineChars="200"/>
        <w:rPr>
          <w:rFonts w:eastAsia="仿宋_GB2312"/>
          <w:color w:val="000000"/>
          <w:sz w:val="32"/>
        </w:rPr>
      </w:pPr>
      <w:r>
        <w:rPr>
          <w:rFonts w:eastAsia="仿宋_GB2312"/>
          <w:color w:val="000000"/>
          <w:sz w:val="32"/>
        </w:rPr>
        <w:t>根据政府领导指示，对乡</w:t>
      </w:r>
      <w:r>
        <w:rPr>
          <w:rFonts w:eastAsia="仿宋_GB2312"/>
          <w:sz w:val="32"/>
        </w:rPr>
        <w:t>（</w:t>
      </w:r>
      <w:r>
        <w:rPr>
          <w:rFonts w:eastAsia="仿宋_GB2312"/>
          <w:color w:val="000000"/>
          <w:sz w:val="32"/>
        </w:rPr>
        <w:t>镇</w:t>
      </w:r>
      <w:r>
        <w:rPr>
          <w:rFonts w:eastAsia="仿宋_GB2312"/>
          <w:sz w:val="32"/>
        </w:rPr>
        <w:t>）</w:t>
      </w:r>
      <w:r>
        <w:rPr>
          <w:rFonts w:eastAsia="仿宋_GB2312"/>
          <w:color w:val="000000"/>
          <w:sz w:val="32"/>
        </w:rPr>
        <w:t>、区直各部门之间出现的争议提出处理意见，报政府领导决策。</w:t>
      </w:r>
    </w:p>
    <w:p>
      <w:pPr>
        <w:numPr>
          <w:ilvl w:val="0"/>
          <w:numId w:val="4"/>
        </w:numPr>
        <w:spacing w:line="576" w:lineRule="exact"/>
        <w:ind w:firstLine="640" w:firstLineChars="200"/>
        <w:rPr>
          <w:rFonts w:eastAsia="仿宋_GB2312"/>
          <w:color w:val="000000"/>
          <w:sz w:val="32"/>
        </w:rPr>
      </w:pPr>
      <w:r>
        <w:rPr>
          <w:rFonts w:eastAsia="仿宋_GB2312"/>
          <w:color w:val="000000"/>
          <w:sz w:val="32"/>
        </w:rPr>
        <w:t>督促检查政府各部门和各乡</w:t>
      </w:r>
      <w:r>
        <w:rPr>
          <w:rFonts w:eastAsia="仿宋_GB2312"/>
          <w:sz w:val="32"/>
        </w:rPr>
        <w:t>（</w:t>
      </w:r>
      <w:r>
        <w:rPr>
          <w:rFonts w:eastAsia="仿宋_GB2312"/>
          <w:color w:val="000000"/>
          <w:sz w:val="32"/>
        </w:rPr>
        <w:t>镇</w:t>
      </w:r>
      <w:r>
        <w:rPr>
          <w:rFonts w:eastAsia="仿宋_GB2312"/>
          <w:sz w:val="32"/>
        </w:rPr>
        <w:t>）</w:t>
      </w:r>
      <w:r>
        <w:rPr>
          <w:rFonts w:eastAsia="仿宋_GB2312"/>
          <w:color w:val="000000"/>
          <w:sz w:val="32"/>
        </w:rPr>
        <w:t>对</w:t>
      </w:r>
      <w:r>
        <w:rPr>
          <w:rFonts w:hint="eastAsia" w:eastAsia="仿宋_GB2312"/>
          <w:color w:val="000000"/>
          <w:sz w:val="32"/>
        </w:rPr>
        <w:t>市</w:t>
      </w:r>
      <w:r>
        <w:rPr>
          <w:rFonts w:eastAsia="仿宋_GB2312"/>
          <w:color w:val="000000"/>
          <w:sz w:val="32"/>
        </w:rPr>
        <w:t>委、</w:t>
      </w:r>
      <w:r>
        <w:rPr>
          <w:rFonts w:hint="eastAsia" w:eastAsia="仿宋_GB2312"/>
          <w:color w:val="000000"/>
          <w:sz w:val="32"/>
        </w:rPr>
        <w:t>市政府</w:t>
      </w:r>
      <w:r>
        <w:rPr>
          <w:rFonts w:eastAsia="仿宋_GB2312"/>
          <w:color w:val="000000"/>
          <w:sz w:val="32"/>
        </w:rPr>
        <w:t>以及区委、区政府重大决策、重要工作部署、领导批示的执行落实情况，并跟踪调研，及时向区政府领导报告。</w:t>
      </w:r>
    </w:p>
    <w:p>
      <w:pPr>
        <w:numPr>
          <w:ilvl w:val="0"/>
          <w:numId w:val="4"/>
        </w:numPr>
        <w:spacing w:line="576" w:lineRule="exact"/>
        <w:ind w:firstLine="640" w:firstLineChars="200"/>
        <w:rPr>
          <w:rFonts w:eastAsia="仿宋_GB2312"/>
          <w:color w:val="000000"/>
          <w:sz w:val="32"/>
        </w:rPr>
      </w:pPr>
      <w:r>
        <w:rPr>
          <w:rFonts w:eastAsia="仿宋_GB2312"/>
          <w:color w:val="000000"/>
          <w:sz w:val="32"/>
        </w:rPr>
        <w:t>负责人大代表提出的议案、意见、建议和提案的督办工作。</w:t>
      </w:r>
    </w:p>
    <w:p>
      <w:pPr>
        <w:numPr>
          <w:ilvl w:val="0"/>
          <w:numId w:val="4"/>
        </w:numPr>
        <w:spacing w:line="576" w:lineRule="exact"/>
        <w:ind w:firstLine="640" w:firstLineChars="200"/>
        <w:rPr>
          <w:rFonts w:eastAsia="仿宋_GB2312"/>
          <w:color w:val="000000"/>
          <w:sz w:val="32"/>
        </w:rPr>
      </w:pPr>
      <w:r>
        <w:rPr>
          <w:rFonts w:eastAsia="仿宋_GB2312"/>
          <w:color w:val="000000"/>
          <w:sz w:val="32"/>
        </w:rPr>
        <w:t>协助政府领导处理需由政府办公室直接处理的突发性事件和重大事故。</w:t>
      </w:r>
    </w:p>
    <w:p>
      <w:pPr>
        <w:numPr>
          <w:ilvl w:val="0"/>
          <w:numId w:val="4"/>
        </w:numPr>
        <w:spacing w:line="576" w:lineRule="exact"/>
        <w:ind w:firstLine="640" w:firstLineChars="200"/>
        <w:rPr>
          <w:rFonts w:eastAsia="仿宋_GB2312"/>
          <w:color w:val="000000"/>
          <w:sz w:val="32"/>
        </w:rPr>
      </w:pPr>
      <w:r>
        <w:rPr>
          <w:rFonts w:eastAsia="仿宋_GB2312"/>
          <w:color w:val="000000"/>
          <w:sz w:val="32"/>
        </w:rPr>
        <w:t>指导信访局处理群众来信，接待群众来访，及时向领导报告来信来访中提出的重要建议和反映的重大问题，办理领导交办的有关信访事项。</w:t>
      </w:r>
    </w:p>
    <w:p>
      <w:pPr>
        <w:numPr>
          <w:ilvl w:val="0"/>
          <w:numId w:val="4"/>
        </w:numPr>
        <w:spacing w:line="576" w:lineRule="exact"/>
        <w:ind w:firstLine="640" w:firstLineChars="200"/>
        <w:rPr>
          <w:rFonts w:eastAsia="仿宋_GB2312"/>
          <w:color w:val="000000"/>
          <w:sz w:val="32"/>
        </w:rPr>
      </w:pPr>
      <w:r>
        <w:rPr>
          <w:rFonts w:eastAsia="仿宋_GB2312"/>
          <w:color w:val="000000"/>
          <w:sz w:val="32"/>
        </w:rPr>
        <w:t>根据区政府领导指示，开展调查研究，及时反映情况，提出建议。</w:t>
      </w:r>
    </w:p>
    <w:p>
      <w:pPr>
        <w:numPr>
          <w:ilvl w:val="0"/>
          <w:numId w:val="4"/>
        </w:numPr>
        <w:spacing w:line="576" w:lineRule="exact"/>
        <w:ind w:firstLine="640" w:firstLineChars="200"/>
        <w:rPr>
          <w:rFonts w:eastAsia="仿宋_GB2312"/>
          <w:color w:val="000000"/>
          <w:sz w:val="32"/>
        </w:rPr>
      </w:pPr>
      <w:r>
        <w:rPr>
          <w:rFonts w:eastAsia="仿宋_GB2312"/>
          <w:color w:val="000000"/>
          <w:sz w:val="32"/>
        </w:rPr>
        <w:t>负责区政府的值班工作，及时准确地向政府领导报告重要情况。</w:t>
      </w:r>
    </w:p>
    <w:p>
      <w:pPr>
        <w:numPr>
          <w:ilvl w:val="0"/>
          <w:numId w:val="4"/>
        </w:numPr>
        <w:spacing w:line="576" w:lineRule="exact"/>
        <w:ind w:firstLine="640" w:firstLineChars="200"/>
        <w:rPr>
          <w:rFonts w:eastAsia="仿宋_GB2312"/>
          <w:color w:val="000000"/>
          <w:sz w:val="32"/>
        </w:rPr>
      </w:pPr>
      <w:r>
        <w:rPr>
          <w:rFonts w:eastAsia="仿宋_GB2312"/>
          <w:color w:val="000000"/>
          <w:sz w:val="32"/>
        </w:rPr>
        <w:t>收集、处理、传递全区的重要信息。负责向市委、市政府和区政府报送政务信息，为各乡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、各部门提供信息服务。负责全区政府系统办公自动化建设的规划及业务指导工作。</w:t>
      </w:r>
    </w:p>
    <w:p>
      <w:pPr>
        <w:numPr>
          <w:ilvl w:val="0"/>
          <w:numId w:val="4"/>
        </w:numPr>
        <w:spacing w:line="576" w:lineRule="exact"/>
        <w:ind w:firstLine="640" w:firstLineChars="200"/>
        <w:rPr>
          <w:rFonts w:eastAsia="仿宋_GB2312"/>
          <w:color w:val="000000"/>
          <w:sz w:val="32"/>
        </w:rPr>
      </w:pPr>
      <w:r>
        <w:rPr>
          <w:rFonts w:eastAsia="仿宋_GB2312"/>
          <w:color w:val="000000"/>
          <w:sz w:val="32"/>
        </w:rPr>
        <w:t>做好行政事务、政府大院安全保卫工作，为政府领导服务，负责政府领导指定的接待和对口单位接待工作。</w:t>
      </w:r>
    </w:p>
    <w:p>
      <w:pPr>
        <w:spacing w:line="576" w:lineRule="exact"/>
        <w:ind w:firstLine="640"/>
        <w:rPr>
          <w:rFonts w:eastAsia="仿宋_GB2312"/>
          <w:color w:val="000000"/>
          <w:sz w:val="32"/>
        </w:rPr>
      </w:pPr>
      <w:r>
        <w:rPr>
          <w:rFonts w:eastAsia="仿宋_GB2312"/>
          <w:color w:val="000000"/>
          <w:sz w:val="32"/>
        </w:rPr>
        <w:t>（十四）贯彻执行国家有关政府法制工作的方针、政策、法律、法规、规章。</w:t>
      </w:r>
    </w:p>
    <w:p>
      <w:pPr>
        <w:spacing w:line="576" w:lineRule="exact"/>
        <w:ind w:firstLine="640"/>
        <w:rPr>
          <w:rFonts w:eastAsia="仿宋_GB2312"/>
          <w:color w:val="000000"/>
          <w:sz w:val="32"/>
        </w:rPr>
      </w:pPr>
      <w:r>
        <w:rPr>
          <w:rFonts w:eastAsia="仿宋_GB2312"/>
          <w:color w:val="000000"/>
          <w:sz w:val="32"/>
        </w:rPr>
        <w:t>（十五）负责区政府规章的解释工作；组织清理、编纂地方性法规、规章、行政规范性文件。</w:t>
      </w:r>
      <w:r>
        <w:rPr>
          <w:rFonts w:eastAsia="仿宋_GB2312"/>
          <w:color w:val="000000"/>
          <w:sz w:val="32"/>
        </w:rPr>
        <w:br w:type="textWrapping"/>
      </w:r>
      <w:r>
        <w:rPr>
          <w:rFonts w:eastAsia="仿宋_GB2312"/>
          <w:color w:val="000000"/>
          <w:sz w:val="32"/>
        </w:rPr>
        <w:t xml:space="preserve">    （十六）承办区人大及其常委会及各部门交办的规章草案征求意见工作。</w:t>
      </w:r>
      <w:r>
        <w:rPr>
          <w:rFonts w:eastAsia="仿宋_GB2312"/>
          <w:color w:val="000000"/>
          <w:sz w:val="32"/>
        </w:rPr>
        <w:br w:type="textWrapping"/>
      </w:r>
      <w:r>
        <w:rPr>
          <w:rFonts w:eastAsia="仿宋_GB2312"/>
          <w:color w:val="000000"/>
          <w:sz w:val="32"/>
        </w:rPr>
        <w:t xml:space="preserve">    （十七）对区政府交办的涉及重要法律问题的政策性文件、决定和行政措施进行发布或实施前的合法性审查；办理区人民政府各部门作出的重大行政处罚决定和制定的规范性文件的备案审查工作。</w:t>
      </w:r>
      <w:r>
        <w:rPr>
          <w:rFonts w:eastAsia="仿宋_GB2312"/>
          <w:color w:val="000000"/>
          <w:sz w:val="32"/>
        </w:rPr>
        <w:br w:type="textWrapping"/>
      </w:r>
      <w:r>
        <w:rPr>
          <w:rFonts w:eastAsia="仿宋_GB2312"/>
          <w:color w:val="000000"/>
          <w:sz w:val="32"/>
        </w:rPr>
        <w:t xml:space="preserve">    （十八）根据有关法规规定，负责办理行政执法监督中的具体工作；组织实施行政处罚；协调部门之间实施有关法律、法规、规章过程中产生的矛盾和争议。</w:t>
      </w:r>
    </w:p>
    <w:p>
      <w:pPr>
        <w:spacing w:line="576" w:lineRule="exact"/>
        <w:ind w:firstLine="640"/>
        <w:rPr>
          <w:rFonts w:eastAsia="仿宋_GB2312"/>
          <w:color w:val="000000"/>
          <w:sz w:val="32"/>
        </w:rPr>
      </w:pPr>
      <w:r>
        <w:rPr>
          <w:rFonts w:eastAsia="仿宋_GB2312"/>
          <w:color w:val="000000"/>
          <w:sz w:val="32"/>
        </w:rPr>
        <w:t>（十九）承办向区人民政府申请的行政复议、行政赔偿案件；代理区人民政府的行政应诉事务；指导全区行政复议、行政应诉和行政赔偿工作。</w:t>
      </w:r>
      <w:r>
        <w:rPr>
          <w:rFonts w:eastAsia="仿宋_GB2312"/>
          <w:color w:val="000000"/>
          <w:sz w:val="32"/>
        </w:rPr>
        <w:br w:type="textWrapping"/>
      </w:r>
      <w:r>
        <w:rPr>
          <w:rFonts w:eastAsia="仿宋_GB2312"/>
          <w:color w:val="000000"/>
          <w:sz w:val="32"/>
        </w:rPr>
        <w:t xml:space="preserve">    （二十）开展政府法制理论、政府法制工作研究和交流，开展对外法制业务交流。</w:t>
      </w:r>
      <w:r>
        <w:rPr>
          <w:rFonts w:eastAsia="仿宋_GB2312"/>
          <w:color w:val="000000"/>
          <w:sz w:val="32"/>
        </w:rPr>
        <w:br w:type="textWrapping"/>
      </w:r>
      <w:r>
        <w:rPr>
          <w:rFonts w:eastAsia="仿宋_GB2312"/>
          <w:color w:val="000000"/>
          <w:sz w:val="32"/>
        </w:rPr>
        <w:t xml:space="preserve">    （二十一）负责处理群众来信，接待群众来访；向区委、政府反映来信来访中提出的重要建议、意见和问题。</w:t>
      </w:r>
    </w:p>
    <w:p>
      <w:pPr>
        <w:spacing w:line="576" w:lineRule="exact"/>
        <w:ind w:firstLine="640"/>
        <w:rPr>
          <w:rFonts w:eastAsia="仿宋_GB2312"/>
          <w:color w:val="000000"/>
          <w:sz w:val="32"/>
        </w:rPr>
      </w:pPr>
      <w:r>
        <w:rPr>
          <w:rFonts w:eastAsia="仿宋_GB2312"/>
          <w:color w:val="000000"/>
          <w:sz w:val="32"/>
        </w:rPr>
        <w:t>（二十二）负责办理区信访局和区领导批办、交办的信访事项，承办其他地市、县（区）转办的群众来信；负责向各乡</w:t>
      </w:r>
      <w:r>
        <w:rPr>
          <w:rFonts w:hint="eastAsia" w:eastAsia="仿宋_GB2312"/>
          <w:color w:val="000000"/>
          <w:sz w:val="32"/>
        </w:rPr>
        <w:t>（</w:t>
      </w:r>
      <w:r>
        <w:rPr>
          <w:rFonts w:eastAsia="仿宋_GB2312"/>
          <w:color w:val="000000"/>
          <w:sz w:val="32"/>
        </w:rPr>
        <w:t>镇</w:t>
      </w:r>
      <w:r>
        <w:rPr>
          <w:rFonts w:hint="eastAsia" w:eastAsia="仿宋_GB2312"/>
          <w:color w:val="000000"/>
          <w:sz w:val="32"/>
        </w:rPr>
        <w:t>）</w:t>
      </w:r>
      <w:r>
        <w:rPr>
          <w:rFonts w:eastAsia="仿宋_GB2312"/>
          <w:color w:val="000000"/>
          <w:sz w:val="32"/>
        </w:rPr>
        <w:t>、区直各部门转办、交办信访事项；督促、检查、反馈信访事项的处理、落实情况。</w:t>
      </w:r>
    </w:p>
    <w:p>
      <w:pPr>
        <w:spacing w:line="576" w:lineRule="exact"/>
        <w:ind w:firstLine="640"/>
        <w:rPr>
          <w:rFonts w:eastAsia="仿宋_GB2312"/>
          <w:sz w:val="32"/>
          <w:szCs w:val="32"/>
        </w:rPr>
      </w:pPr>
      <w:r>
        <w:rPr>
          <w:rFonts w:eastAsia="仿宋_GB2312"/>
          <w:color w:val="000000"/>
          <w:sz w:val="32"/>
        </w:rPr>
        <w:t>（二十三）</w:t>
      </w:r>
      <w:r>
        <w:rPr>
          <w:rFonts w:eastAsia="仿宋_GB2312"/>
          <w:sz w:val="32"/>
          <w:szCs w:val="32"/>
        </w:rPr>
        <w:t>贯彻执行国家、自治区和市政府有关外事、侨务工作的方针、政策、涉外法律法规、指示和决定。</w:t>
      </w:r>
    </w:p>
    <w:p>
      <w:pPr>
        <w:spacing w:line="576" w:lineRule="exact"/>
        <w:ind w:firstLine="640"/>
        <w:rPr>
          <w:rFonts w:eastAsia="仿宋_GB2312"/>
          <w:b/>
          <w:sz w:val="32"/>
          <w:szCs w:val="32"/>
        </w:rPr>
      </w:pPr>
      <w:r>
        <w:rPr>
          <w:rFonts w:eastAsia="仿宋_GB2312"/>
          <w:sz w:val="32"/>
          <w:szCs w:val="32"/>
        </w:rPr>
        <w:t>（二十四）负责做好区委、区政府在外事侨务工作中的助手和参谋。制定全区外事侨务工作规章制度和工作规划；检查全区有关部门、单位贯彻执行对外方针政策和涉外涉侨法规情况；承办全区外事侨务工作和涉外活动；协调处理</w:t>
      </w:r>
      <w:r>
        <w:rPr>
          <w:rFonts w:hint="eastAsia" w:eastAsia="仿宋_GB2312"/>
          <w:sz w:val="32"/>
          <w:szCs w:val="32"/>
        </w:rPr>
        <w:t>全区</w:t>
      </w:r>
      <w:r>
        <w:rPr>
          <w:rFonts w:eastAsia="仿宋_GB2312"/>
          <w:sz w:val="32"/>
          <w:szCs w:val="32"/>
        </w:rPr>
        <w:t>各类涉外涉侨事务。</w:t>
      </w:r>
    </w:p>
    <w:p>
      <w:pPr>
        <w:spacing w:line="576" w:lineRule="exact"/>
        <w:ind w:firstLine="640"/>
        <w:rPr>
          <w:rFonts w:eastAsia="仿宋_GB2312"/>
        </w:rPr>
      </w:pPr>
      <w:r>
        <w:rPr>
          <w:rFonts w:eastAsia="仿宋_GB2312"/>
          <w:sz w:val="32"/>
          <w:szCs w:val="32"/>
        </w:rPr>
        <w:t>（二十五）承办区委、区政府交办的其他事项。</w:t>
      </w:r>
    </w:p>
    <w:p>
      <w:pPr>
        <w:spacing w:line="576" w:lineRule="exact"/>
        <w:ind w:firstLine="640"/>
        <w:rPr>
          <w:rFonts w:eastAsia="黑体"/>
          <w:sz w:val="32"/>
        </w:rPr>
      </w:pPr>
      <w:r>
        <w:rPr>
          <w:rFonts w:hint="eastAsia" w:eastAsia="黑体"/>
          <w:sz w:val="32"/>
        </w:rPr>
        <w:t>二</w:t>
      </w:r>
      <w:r>
        <w:rPr>
          <w:rFonts w:eastAsia="黑体"/>
          <w:sz w:val="32"/>
        </w:rPr>
        <w:t>、内设机构</w:t>
      </w:r>
    </w:p>
    <w:p>
      <w:pPr>
        <w:spacing w:line="576" w:lineRule="exact"/>
        <w:ind w:firstLine="640"/>
        <w:rPr>
          <w:rFonts w:eastAsia="仿宋_GB2312"/>
          <w:sz w:val="32"/>
        </w:rPr>
      </w:pPr>
      <w:r>
        <w:rPr>
          <w:rFonts w:eastAsia="仿宋_GB2312"/>
          <w:sz w:val="32"/>
        </w:rPr>
        <w:t>乃东区</w:t>
      </w:r>
      <w:r>
        <w:rPr>
          <w:rFonts w:hint="eastAsia" w:eastAsia="仿宋_GB2312"/>
          <w:sz w:val="32"/>
        </w:rPr>
        <w:t>人民</w:t>
      </w:r>
      <w:r>
        <w:rPr>
          <w:rFonts w:eastAsia="仿宋_GB2312"/>
          <w:sz w:val="32"/>
        </w:rPr>
        <w:t>政府办公室（政府法制办公室、信访局、外事侨务办公室）不设内设机构。</w:t>
      </w:r>
    </w:p>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第二部分</w:t>
      </w:r>
    </w:p>
    <w:p/>
    <w:p/>
    <w:p>
      <w:pPr>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 xml:space="preserve">乃东区人民政府办公室 </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201</w:t>
      </w:r>
      <w:r>
        <w:rPr>
          <w:rFonts w:hint="eastAsia" w:ascii="方正小标宋简体" w:hAnsi="方正小标宋简体" w:eastAsia="方正小标宋简体" w:cs="方正小标宋简体"/>
          <w:sz w:val="72"/>
          <w:szCs w:val="72"/>
          <w:lang w:val="en-US" w:eastAsia="zh-CN"/>
        </w:rPr>
        <w:t>6</w:t>
      </w:r>
      <w:r>
        <w:rPr>
          <w:rFonts w:hint="eastAsia" w:ascii="方正小标宋简体" w:hAnsi="方正小标宋简体" w:eastAsia="方正小标宋简体" w:cs="方正小标宋简体"/>
          <w:sz w:val="72"/>
          <w:szCs w:val="72"/>
        </w:rPr>
        <w:t>年部门预算表</w:t>
      </w:r>
    </w:p>
    <w:p>
      <w:pP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89"/>
        <w:gridCol w:w="1460"/>
        <w:gridCol w:w="2024"/>
        <w:gridCol w:w="335"/>
        <w:gridCol w:w="1729"/>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0"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表1</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财政拨款收支决算总表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049" w:type="dxa"/>
            <w:gridSpan w:val="2"/>
            <w:tcBorders>
              <w:bottom w:val="single" w:color="000000" w:sz="12"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p>
        </w:tc>
        <w:tc>
          <w:tcPr>
            <w:tcW w:w="2024"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335" w:type="dxa"/>
            <w:tcBorders>
              <w:bottom w:val="single" w:color="000000" w:sz="12" w:space="0"/>
            </w:tcBorders>
            <w:shd w:val="clear"/>
            <w:vAlign w:val="center"/>
          </w:tcPr>
          <w:p>
            <w:pPr>
              <w:jc w:val="left"/>
              <w:rPr>
                <w:rFonts w:hint="eastAsia" w:ascii="宋体" w:hAnsi="宋体" w:eastAsia="宋体" w:cs="宋体"/>
                <w:i w:val="0"/>
                <w:color w:val="000000"/>
                <w:sz w:val="21"/>
                <w:szCs w:val="21"/>
                <w:u w:val="none"/>
              </w:rPr>
            </w:pPr>
          </w:p>
        </w:tc>
        <w:tc>
          <w:tcPr>
            <w:tcW w:w="2922" w:type="dxa"/>
            <w:gridSpan w:val="2"/>
            <w:tcBorders>
              <w:bottom w:val="single" w:color="000000" w:sz="12"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3049" w:type="dxa"/>
            <w:gridSpan w:val="2"/>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5281" w:type="dxa"/>
            <w:gridSpan w:val="4"/>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一、本年收入</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一、本年支出</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50,822,535.73</w:t>
            </w: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5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 总 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50,822,535.73</w:t>
            </w:r>
          </w:p>
        </w:tc>
        <w:tc>
          <w:tcPr>
            <w:tcW w:w="20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 总 计</w:t>
            </w:r>
          </w:p>
        </w:tc>
        <w:tc>
          <w:tcPr>
            <w:tcW w:w="3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7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119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bl>
    <w:p/>
    <w:p/>
    <w:p/>
    <w:p/>
    <w:p/>
    <w:p/>
    <w:p/>
    <w:p/>
    <w:tbl>
      <w:tblPr>
        <w:tblW w:w="88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09"/>
        <w:gridCol w:w="2496"/>
        <w:gridCol w:w="1940"/>
        <w:gridCol w:w="1402"/>
        <w:gridCol w:w="1402"/>
        <w:gridCol w:w="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8855"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表2</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855" w:type="dxa"/>
            <w:gridSpan w:val="6"/>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功能分类科目</w:t>
            </w:r>
          </w:p>
        </w:tc>
        <w:tc>
          <w:tcPr>
            <w:tcW w:w="474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2015年决算数</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24,354,275.75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20,039,275.75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4,315,000.00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24,304,275.75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20,039,275.75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4,265,000.00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15,861,875.75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15,861,875.75</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2010303</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机关服务</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4,037,400.00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4,037,400.00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2010308</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信访事务</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其他政府办公厅（室）及相关机构事务支出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4,365,000.00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4,265,000.00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194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归口管理的行政单位离退休</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2,296,926.00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2,296,926.00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2080504</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未归口管理的行政单位离退休</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16,976,135.98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16,976,135.98</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5,012,500.00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5,012,500.00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w:t>
            </w:r>
          </w:p>
        </w:tc>
        <w:tc>
          <w:tcPr>
            <w:tcW w:w="194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5,012,500.00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5,012,500.00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2130126</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农村公益事业</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4,400,000.00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其他农业支出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612,500.00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612,500.00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商业服务业等支出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1,401,600.00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旅游业管理与服务支出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1,401,600.00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2160501</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行政运行</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2160504</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旅游宣传</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2160599</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其他旅游业管理与服务支出</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1,341,600.00</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1,341,600.00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4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9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40,093,435.73</w:t>
            </w:r>
          </w:p>
        </w:tc>
        <w:tc>
          <w:tcPr>
            <w:tcW w:w="1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10,729,100.00</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8855" w:type="dxa"/>
            <w:gridSpan w:val="6"/>
            <w:tcBorders>
              <w:top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备注：本表按照政府收支分类科目列示到</w:t>
            </w:r>
            <w:r>
              <w:rPr>
                <w:rFonts w:hint="eastAsia" w:ascii="宋体" w:hAnsi="宋体" w:eastAsia="宋体" w:cs="宋体"/>
                <w:b/>
                <w:i w:val="0"/>
                <w:color w:val="000000"/>
                <w:kern w:val="0"/>
                <w:sz w:val="24"/>
                <w:szCs w:val="24"/>
                <w:u w:val="none"/>
                <w:lang w:val="en-US" w:eastAsia="zh-CN" w:bidi="ar"/>
              </w:rPr>
              <w:t>项级</w:t>
            </w:r>
            <w:r>
              <w:rPr>
                <w:rFonts w:hint="eastAsia" w:ascii="宋体" w:hAnsi="宋体" w:eastAsia="宋体" w:cs="宋体"/>
                <w:i w:val="0"/>
                <w:color w:val="000000"/>
                <w:kern w:val="0"/>
                <w:sz w:val="24"/>
                <w:szCs w:val="24"/>
                <w:u w:val="none"/>
                <w:lang w:val="en-US" w:eastAsia="zh-CN" w:bidi="ar"/>
              </w:rPr>
              <w:t>科目</w:t>
            </w:r>
          </w:p>
        </w:tc>
      </w:tr>
    </w:tbl>
    <w:p/>
    <w:p/>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3"/>
        <w:gridCol w:w="1503"/>
        <w:gridCol w:w="3063"/>
        <w:gridCol w:w="1406"/>
        <w:gridCol w:w="1300"/>
        <w:gridCol w:w="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trPr>
        <w:tc>
          <w:tcPr>
            <w:tcW w:w="8330" w:type="dxa"/>
            <w:gridSpan w:val="6"/>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表3</w:t>
            </w:r>
          </w:p>
          <w:p>
            <w:pPr>
              <w:jc w:val="center"/>
              <w:rPr>
                <w:rFonts w:hint="eastAsia" w:ascii="宋体" w:hAnsi="宋体" w:eastAsia="宋体" w:cs="宋体"/>
                <w:i w:val="0"/>
                <w:color w:val="000000"/>
                <w:sz w:val="22"/>
                <w:szCs w:val="22"/>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shd w:val="clear"/>
            <w:vAlign w:val="center"/>
          </w:tcPr>
          <w:p>
            <w:pPr>
              <w:jc w:val="both"/>
              <w:rPr>
                <w:rFonts w:hint="eastAsia" w:ascii="宋体" w:hAnsi="宋体" w:eastAsia="宋体" w:cs="宋体"/>
                <w:i w:val="0"/>
                <w:color w:val="000000"/>
                <w:sz w:val="21"/>
                <w:szCs w:val="21"/>
                <w:u w:val="none"/>
              </w:rPr>
            </w:pPr>
          </w:p>
        </w:tc>
        <w:tc>
          <w:tcPr>
            <w:tcW w:w="1503" w:type="dxa"/>
            <w:shd w:val="clear"/>
            <w:vAlign w:val="center"/>
          </w:tcPr>
          <w:p>
            <w:pPr>
              <w:rPr>
                <w:rFonts w:hint="eastAsia" w:ascii="宋体" w:hAnsi="宋体" w:eastAsia="宋体" w:cs="宋体"/>
                <w:i w:val="0"/>
                <w:color w:val="000000"/>
                <w:sz w:val="22"/>
                <w:szCs w:val="22"/>
                <w:u w:val="none"/>
              </w:rPr>
            </w:pPr>
          </w:p>
        </w:tc>
        <w:tc>
          <w:tcPr>
            <w:tcW w:w="3063" w:type="dxa"/>
            <w:shd w:val="clear"/>
            <w:vAlign w:val="center"/>
          </w:tcPr>
          <w:p>
            <w:pPr>
              <w:rPr>
                <w:rFonts w:hint="eastAsia" w:ascii="宋体" w:hAnsi="宋体" w:eastAsia="宋体" w:cs="宋体"/>
                <w:i w:val="0"/>
                <w:color w:val="000000"/>
                <w:sz w:val="22"/>
                <w:szCs w:val="22"/>
                <w:u w:val="none"/>
              </w:rPr>
            </w:pPr>
          </w:p>
        </w:tc>
        <w:tc>
          <w:tcPr>
            <w:tcW w:w="1406" w:type="dxa"/>
            <w:shd w:val="clear"/>
            <w:vAlign w:val="center"/>
          </w:tcPr>
          <w:p>
            <w:pPr>
              <w:rPr>
                <w:rFonts w:hint="eastAsia" w:ascii="宋体" w:hAnsi="宋体" w:eastAsia="宋体" w:cs="宋体"/>
                <w:i w:val="0"/>
                <w:color w:val="000000"/>
                <w:sz w:val="22"/>
                <w:szCs w:val="22"/>
                <w:u w:val="none"/>
              </w:rPr>
            </w:pPr>
          </w:p>
        </w:tc>
        <w:tc>
          <w:tcPr>
            <w:tcW w:w="1645" w:type="dxa"/>
            <w:gridSpan w:val="2"/>
            <w:tcBorders>
              <w:bottom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经济分类科目</w:t>
            </w:r>
          </w:p>
        </w:tc>
        <w:tc>
          <w:tcPr>
            <w:tcW w:w="57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年基本支出</w:t>
            </w:r>
          </w:p>
        </w:tc>
        <w:tc>
          <w:tcPr>
            <w:tcW w:w="3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人员经费</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公用经费</w:t>
            </w:r>
          </w:p>
        </w:tc>
        <w:tc>
          <w:tcPr>
            <w:tcW w:w="3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工资福利支出</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16,682,054.75</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16,682,054.75</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941,821.00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941,821.00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津贴补贴</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2,876,031.00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2,876,031.00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奖金</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10,831,802.75</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10,831,802.75</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30104</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社会保障缴费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30106</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伙食补助</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32,400.00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302</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商品和服务支出</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3,553,961.00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3,553,961.00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218,073.47</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218,073.47</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30202</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印刷费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46,281.23</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46,281.23</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咨询费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6,840.00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6,840.00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30207</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邮电费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288,641.19</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288,641.19</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30208</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取暖费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21,708.00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21,708.00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物业管理费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8,326.50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8,326.50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23,020.00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107,641.00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107,641.00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30214</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租赁费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210,502.25</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210,502.25</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1503" w:type="dxa"/>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68,288.50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68,288.50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30217</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30224</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被装购置费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30226</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劳务费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730,486.00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730,486.00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30231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公务用车运行维护费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808,418.00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808,418.00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749,734.86</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749,734.86</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303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对个人与家庭的补助</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19,857,419.98</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19,857,419.98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退职（役）费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30304</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抚恤金</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100,000.00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30305</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生活补助</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426,153.00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426,153.00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30307</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医疗费</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30308</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助学金</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奖励金</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30310</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生产补贴</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30311</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30313</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购房补贴</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15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其他对个人与家庭的补助</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58,205.00</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58,205.00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22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3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40,093,435.73 </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36,539,474.73 </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3,553,961.00</w:t>
            </w:r>
          </w:p>
        </w:tc>
        <w:tc>
          <w:tcPr>
            <w:tcW w:w="3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r>
    </w:tbl>
    <w:p/>
    <w:p/>
    <w:p/>
    <w:p/>
    <w:p/>
    <w:p/>
    <w:p/>
    <w:p/>
    <w:p/>
    <w:p/>
    <w:p/>
    <w:p/>
    <w:p/>
    <w:p/>
    <w:p/>
    <w:p/>
    <w:p/>
    <w:p/>
    <w:p/>
    <w:p/>
    <w:p/>
    <w:p/>
    <w:p/>
    <w:p/>
    <w:tbl>
      <w:tblPr>
        <w:tblStyle w:val="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83"/>
        <w:gridCol w:w="377"/>
        <w:gridCol w:w="810"/>
        <w:gridCol w:w="203"/>
        <w:gridCol w:w="896"/>
        <w:gridCol w:w="896"/>
        <w:gridCol w:w="983"/>
        <w:gridCol w:w="377"/>
        <w:gridCol w:w="810"/>
        <w:gridCol w:w="203"/>
        <w:gridCol w:w="89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983" w:type="dxa"/>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表4</w:t>
            </w:r>
          </w:p>
        </w:tc>
        <w:tc>
          <w:tcPr>
            <w:tcW w:w="7347" w:type="dxa"/>
            <w:gridSpan w:val="11"/>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一般公共预算“三公”经费支出决算表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983" w:type="dxa"/>
            <w:shd w:val="clear" w:color="auto" w:fill="auto"/>
            <w:vAlign w:val="center"/>
          </w:tcPr>
          <w:p>
            <w:pPr>
              <w:rPr>
                <w:rFonts w:hint="eastAsia" w:ascii="宋体" w:hAnsi="宋体" w:eastAsia="宋体" w:cs="宋体"/>
                <w:i w:val="0"/>
                <w:color w:val="000000"/>
                <w:sz w:val="21"/>
                <w:szCs w:val="21"/>
                <w:u w:val="none"/>
              </w:rPr>
            </w:pPr>
          </w:p>
        </w:tc>
        <w:tc>
          <w:tcPr>
            <w:tcW w:w="377" w:type="dxa"/>
            <w:shd w:val="clear" w:color="auto" w:fill="auto"/>
            <w:vAlign w:val="center"/>
          </w:tcPr>
          <w:p>
            <w:pPr>
              <w:rPr>
                <w:rFonts w:hint="eastAsia" w:ascii="宋体" w:hAnsi="宋体" w:eastAsia="宋体" w:cs="宋体"/>
                <w:i w:val="0"/>
                <w:color w:val="000000"/>
                <w:sz w:val="22"/>
                <w:szCs w:val="22"/>
                <w:u w:val="none"/>
              </w:rPr>
            </w:pPr>
          </w:p>
        </w:tc>
        <w:tc>
          <w:tcPr>
            <w:tcW w:w="810" w:type="dxa"/>
            <w:shd w:val="clear" w:color="auto" w:fill="auto"/>
            <w:vAlign w:val="center"/>
          </w:tcPr>
          <w:p>
            <w:pPr>
              <w:rPr>
                <w:rFonts w:hint="eastAsia" w:ascii="宋体" w:hAnsi="宋体" w:eastAsia="宋体" w:cs="宋体"/>
                <w:i w:val="0"/>
                <w:color w:val="000000"/>
                <w:sz w:val="22"/>
                <w:szCs w:val="22"/>
                <w:u w:val="none"/>
              </w:rPr>
            </w:pPr>
          </w:p>
        </w:tc>
        <w:tc>
          <w:tcPr>
            <w:tcW w:w="203" w:type="dxa"/>
            <w:shd w:val="clear" w:color="auto" w:fill="auto"/>
            <w:vAlign w:val="center"/>
          </w:tcPr>
          <w:p>
            <w:pPr>
              <w:rPr>
                <w:rFonts w:hint="eastAsia" w:ascii="宋体" w:hAnsi="宋体" w:eastAsia="宋体" w:cs="宋体"/>
                <w:i w:val="0"/>
                <w:color w:val="000000"/>
                <w:sz w:val="22"/>
                <w:szCs w:val="22"/>
                <w:u w:val="none"/>
              </w:rPr>
            </w:pPr>
          </w:p>
        </w:tc>
        <w:tc>
          <w:tcPr>
            <w:tcW w:w="896" w:type="dxa"/>
            <w:shd w:val="clear" w:color="auto" w:fill="auto"/>
            <w:vAlign w:val="center"/>
          </w:tcPr>
          <w:p>
            <w:pPr>
              <w:rPr>
                <w:rFonts w:hint="eastAsia" w:ascii="宋体" w:hAnsi="宋体" w:eastAsia="宋体" w:cs="宋体"/>
                <w:i w:val="0"/>
                <w:color w:val="000000"/>
                <w:sz w:val="22"/>
                <w:szCs w:val="22"/>
                <w:u w:val="none"/>
              </w:rPr>
            </w:pPr>
          </w:p>
        </w:tc>
        <w:tc>
          <w:tcPr>
            <w:tcW w:w="896" w:type="dxa"/>
            <w:shd w:val="clear" w:color="auto" w:fill="auto"/>
            <w:vAlign w:val="center"/>
          </w:tcPr>
          <w:p>
            <w:pPr>
              <w:rPr>
                <w:rFonts w:hint="eastAsia" w:ascii="宋体" w:hAnsi="宋体" w:eastAsia="宋体" w:cs="宋体"/>
                <w:i w:val="0"/>
                <w:color w:val="000000"/>
                <w:sz w:val="22"/>
                <w:szCs w:val="22"/>
                <w:u w:val="none"/>
              </w:rPr>
            </w:pPr>
          </w:p>
        </w:tc>
        <w:tc>
          <w:tcPr>
            <w:tcW w:w="983" w:type="dxa"/>
            <w:shd w:val="clear" w:color="auto" w:fill="auto"/>
            <w:vAlign w:val="center"/>
          </w:tcPr>
          <w:p>
            <w:pPr>
              <w:rPr>
                <w:rFonts w:hint="eastAsia" w:ascii="宋体" w:hAnsi="宋体" w:eastAsia="宋体" w:cs="宋体"/>
                <w:i w:val="0"/>
                <w:color w:val="000000"/>
                <w:sz w:val="22"/>
                <w:szCs w:val="22"/>
                <w:u w:val="none"/>
              </w:rPr>
            </w:pPr>
          </w:p>
        </w:tc>
        <w:tc>
          <w:tcPr>
            <w:tcW w:w="377" w:type="dxa"/>
            <w:shd w:val="clear" w:color="auto" w:fill="auto"/>
            <w:vAlign w:val="center"/>
          </w:tcPr>
          <w:p>
            <w:pPr>
              <w:rPr>
                <w:rFonts w:hint="eastAsia" w:ascii="宋体" w:hAnsi="宋体" w:eastAsia="宋体" w:cs="宋体"/>
                <w:i w:val="0"/>
                <w:color w:val="000000"/>
                <w:sz w:val="22"/>
                <w:szCs w:val="22"/>
                <w:u w:val="none"/>
              </w:rPr>
            </w:pPr>
          </w:p>
        </w:tc>
        <w:tc>
          <w:tcPr>
            <w:tcW w:w="810" w:type="dxa"/>
            <w:shd w:val="clear" w:color="auto" w:fill="auto"/>
            <w:vAlign w:val="center"/>
          </w:tcPr>
          <w:p>
            <w:pPr>
              <w:rPr>
                <w:rFonts w:hint="eastAsia" w:ascii="宋体" w:hAnsi="宋体" w:eastAsia="宋体" w:cs="宋体"/>
                <w:i w:val="0"/>
                <w:color w:val="000000"/>
                <w:sz w:val="22"/>
                <w:szCs w:val="22"/>
                <w:u w:val="none"/>
              </w:rPr>
            </w:pPr>
          </w:p>
        </w:tc>
        <w:tc>
          <w:tcPr>
            <w:tcW w:w="203" w:type="dxa"/>
            <w:shd w:val="clear" w:color="auto" w:fill="auto"/>
            <w:vAlign w:val="center"/>
          </w:tcPr>
          <w:p>
            <w:pPr>
              <w:rPr>
                <w:rFonts w:hint="eastAsia" w:ascii="宋体" w:hAnsi="宋体" w:eastAsia="宋体" w:cs="宋体"/>
                <w:i w:val="0"/>
                <w:color w:val="000000"/>
                <w:sz w:val="22"/>
                <w:szCs w:val="22"/>
                <w:u w:val="none"/>
              </w:rPr>
            </w:pPr>
          </w:p>
        </w:tc>
        <w:tc>
          <w:tcPr>
            <w:tcW w:w="1792"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 年预算数</w:t>
            </w:r>
          </w:p>
        </w:tc>
        <w:tc>
          <w:tcPr>
            <w:tcW w:w="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3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因公出国(境)费</w:t>
            </w:r>
          </w:p>
        </w:tc>
        <w:tc>
          <w:tcPr>
            <w:tcW w:w="1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公务用车购置及运行费</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公务用车购置费</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公务用车运行费</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1,042,383.0 </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842,383.0 </w:t>
            </w: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9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842,383.00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1,042,383.0 </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842,383.0 </w:t>
            </w: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896"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842,383.00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
    <w:p/>
    <w:p/>
    <w:p/>
    <w:p/>
    <w:p/>
    <w:p/>
    <w:p/>
    <w:tbl>
      <w:tblPr>
        <w:tblStyle w:val="6"/>
        <w:tblW w:w="83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09"/>
        <w:gridCol w:w="1487"/>
        <w:gridCol w:w="1321"/>
        <w:gridCol w:w="1417"/>
        <w:gridCol w:w="1180"/>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jc w:val="center"/>
        </w:trPr>
        <w:tc>
          <w:tcPr>
            <w:tcW w:w="8330" w:type="dxa"/>
            <w:gridSpan w:val="6"/>
            <w:shd w:val="clear" w:color="auto" w:fill="auto"/>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表5</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政府性基金支出决算表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5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填报单位：XXX（部门）                                             </w:t>
            </w:r>
          </w:p>
        </w:tc>
        <w:tc>
          <w:tcPr>
            <w:tcW w:w="1487" w:type="dxa"/>
            <w:shd w:val="clear" w:color="auto" w:fill="auto"/>
            <w:vAlign w:val="center"/>
          </w:tcPr>
          <w:p>
            <w:pPr>
              <w:rPr>
                <w:rFonts w:hint="eastAsia" w:ascii="宋体" w:hAnsi="宋体" w:eastAsia="宋体" w:cs="宋体"/>
                <w:i w:val="0"/>
                <w:color w:val="000000"/>
                <w:sz w:val="22"/>
                <w:szCs w:val="22"/>
                <w:u w:val="none"/>
              </w:rPr>
            </w:pPr>
          </w:p>
        </w:tc>
        <w:tc>
          <w:tcPr>
            <w:tcW w:w="1321" w:type="dxa"/>
            <w:shd w:val="clear" w:color="auto" w:fill="auto"/>
            <w:vAlign w:val="center"/>
          </w:tcPr>
          <w:p>
            <w:pPr>
              <w:rPr>
                <w:rFonts w:hint="eastAsia" w:ascii="宋体" w:hAnsi="宋体" w:eastAsia="宋体" w:cs="宋体"/>
                <w:i w:val="0"/>
                <w:color w:val="000000"/>
                <w:sz w:val="22"/>
                <w:szCs w:val="22"/>
                <w:u w:val="none"/>
              </w:rPr>
            </w:pPr>
          </w:p>
        </w:tc>
        <w:tc>
          <w:tcPr>
            <w:tcW w:w="1417" w:type="dxa"/>
            <w:shd w:val="clear" w:color="auto" w:fill="auto"/>
            <w:vAlign w:val="center"/>
          </w:tcPr>
          <w:p>
            <w:pPr>
              <w:rPr>
                <w:rFonts w:hint="eastAsia" w:ascii="宋体" w:hAnsi="宋体" w:eastAsia="宋体" w:cs="宋体"/>
                <w:i w:val="0"/>
                <w:color w:val="000000"/>
                <w:sz w:val="22"/>
                <w:szCs w:val="22"/>
                <w:u w:val="none"/>
              </w:rPr>
            </w:pPr>
          </w:p>
        </w:tc>
        <w:tc>
          <w:tcPr>
            <w:tcW w:w="2596" w:type="dxa"/>
            <w:gridSpan w:val="2"/>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　</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单位代码　</w:t>
            </w:r>
          </w:p>
        </w:tc>
        <w:tc>
          <w:tcPr>
            <w:tcW w:w="40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1"/>
                <w:szCs w:val="21"/>
                <w:u w:val="none"/>
              </w:rPr>
            </w:pPr>
          </w:p>
        </w:tc>
      </w:tr>
    </w:tbl>
    <w:p/>
    <w:p/>
    <w:p/>
    <w:p/>
    <w:tbl>
      <w:tblPr>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524"/>
        <w:gridCol w:w="2762"/>
        <w:gridCol w:w="1584"/>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8330" w:type="dxa"/>
            <w:gridSpan w:val="4"/>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表6</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部门收支决算总表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524" w:type="dxa"/>
            <w:shd w:val="clear"/>
            <w:vAlign w:val="center"/>
          </w:tcPr>
          <w:p>
            <w:pPr>
              <w:jc w:val="left"/>
              <w:rPr>
                <w:rFonts w:hint="eastAsia" w:ascii="宋体" w:hAnsi="宋体" w:eastAsia="宋体" w:cs="宋体"/>
                <w:i w:val="0"/>
                <w:color w:val="000000"/>
                <w:sz w:val="21"/>
                <w:szCs w:val="21"/>
                <w:u w:val="none"/>
              </w:rPr>
            </w:pPr>
          </w:p>
        </w:tc>
        <w:tc>
          <w:tcPr>
            <w:tcW w:w="2762" w:type="dxa"/>
            <w:shd w:val="clear"/>
            <w:vAlign w:val="center"/>
          </w:tcPr>
          <w:p>
            <w:pPr>
              <w:rPr>
                <w:rFonts w:hint="eastAsia" w:ascii="宋体" w:hAnsi="宋体" w:eastAsia="宋体" w:cs="宋体"/>
                <w:i w:val="0"/>
                <w:color w:val="000000"/>
                <w:sz w:val="22"/>
                <w:szCs w:val="22"/>
                <w:u w:val="none"/>
              </w:rPr>
            </w:pPr>
          </w:p>
        </w:tc>
        <w:tc>
          <w:tcPr>
            <w:tcW w:w="1584" w:type="dxa"/>
            <w:shd w:val="clear"/>
            <w:vAlign w:val="center"/>
          </w:tcPr>
          <w:p>
            <w:pPr>
              <w:rPr>
                <w:rFonts w:hint="eastAsia" w:ascii="宋体" w:hAnsi="宋体" w:eastAsia="宋体" w:cs="宋体"/>
                <w:i w:val="0"/>
                <w:color w:val="000000"/>
                <w:sz w:val="22"/>
                <w:szCs w:val="22"/>
                <w:u w:val="none"/>
              </w:rPr>
            </w:pPr>
          </w:p>
        </w:tc>
        <w:tc>
          <w:tcPr>
            <w:tcW w:w="1460"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8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收入</w:t>
            </w:r>
          </w:p>
        </w:tc>
        <w:tc>
          <w:tcPr>
            <w:tcW w:w="30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一、一般公共预算拨款收入</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50,822,535.73</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50,822,535.73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二、政府性基金预算拨款收入</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三、事业收入</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四、事业单位经营收入</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五、其他收入</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3F3F3F" w:sz="4" w:space="0"/>
              <w:left w:val="single" w:color="3F3F3F" w:sz="4" w:space="0"/>
              <w:bottom w:val="single" w:color="3F3F3F" w:sz="4" w:space="0"/>
              <w:right w:val="single" w:color="3F3F3F" w:sz="4" w:space="0"/>
            </w:tcBorders>
            <w:shd w:val="clear" w:color="auto" w:fill="F2F2F2"/>
            <w:vAlign w:val="center"/>
          </w:tcPr>
          <w:p>
            <w:pPr>
              <w:keepNext w:val="0"/>
              <w:keepLines w:val="0"/>
              <w:widowControl/>
              <w:suppressLineNumbers w:val="0"/>
              <w:jc w:val="both"/>
              <w:textAlignment w:val="center"/>
              <w:rPr>
                <w:rFonts w:hint="eastAsia" w:ascii="宋体" w:hAnsi="宋体" w:eastAsia="宋体" w:cs="宋体"/>
                <w:b/>
                <w:i w:val="0"/>
                <w:color w:val="3F3F3F"/>
                <w:sz w:val="22"/>
                <w:szCs w:val="22"/>
                <w:u w:val="none"/>
              </w:rPr>
            </w:pPr>
            <w:r>
              <w:rPr>
                <w:rFonts w:hint="eastAsia" w:ascii="宋体" w:hAnsi="宋体" w:eastAsia="宋体" w:cs="宋体"/>
                <w:b/>
                <w:i w:val="0"/>
                <w:color w:val="3F3F3F"/>
                <w:kern w:val="0"/>
                <w:sz w:val="22"/>
                <w:szCs w:val="22"/>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本年收入合计</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本年支出合计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结转下年</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5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 总 计</w:t>
            </w:r>
          </w:p>
        </w:tc>
        <w:tc>
          <w:tcPr>
            <w:tcW w:w="27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50,822,535.73 </w:t>
            </w:r>
          </w:p>
        </w:tc>
        <w:tc>
          <w:tcPr>
            <w:tcW w:w="15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 总 计</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50,822,535.73 </w:t>
            </w:r>
          </w:p>
        </w:tc>
      </w:tr>
    </w:tbl>
    <w:p/>
    <w:p/>
    <w:p/>
    <w:p/>
    <w:tbl>
      <w:tblPr>
        <w:tblW w:w="104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79"/>
        <w:gridCol w:w="2456"/>
        <w:gridCol w:w="1478"/>
        <w:gridCol w:w="298"/>
        <w:gridCol w:w="1467"/>
        <w:gridCol w:w="849"/>
        <w:gridCol w:w="320"/>
        <w:gridCol w:w="452"/>
        <w:gridCol w:w="474"/>
        <w:gridCol w:w="508"/>
        <w:gridCol w:w="408"/>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10437" w:type="dxa"/>
            <w:gridSpan w:val="12"/>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表7</w:t>
            </w:r>
          </w:p>
          <w:p>
            <w:pPr>
              <w:jc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部门收入决算总表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xml:space="preserve">                     </w:t>
            </w:r>
          </w:p>
        </w:tc>
        <w:tc>
          <w:tcPr>
            <w:tcW w:w="2456" w:type="dxa"/>
            <w:shd w:val="clear"/>
            <w:vAlign w:val="center"/>
          </w:tcPr>
          <w:p>
            <w:pPr>
              <w:rPr>
                <w:rFonts w:hint="eastAsia" w:ascii="宋体" w:hAnsi="宋体" w:eastAsia="宋体" w:cs="宋体"/>
                <w:i w:val="0"/>
                <w:color w:val="000000"/>
                <w:sz w:val="22"/>
                <w:szCs w:val="22"/>
                <w:u w:val="none"/>
              </w:rPr>
            </w:pPr>
          </w:p>
        </w:tc>
        <w:tc>
          <w:tcPr>
            <w:tcW w:w="1478" w:type="dxa"/>
            <w:shd w:val="clear"/>
            <w:vAlign w:val="center"/>
          </w:tcPr>
          <w:p>
            <w:pPr>
              <w:rPr>
                <w:rFonts w:hint="eastAsia" w:ascii="宋体" w:hAnsi="宋体" w:eastAsia="宋体" w:cs="宋体"/>
                <w:i w:val="0"/>
                <w:color w:val="000000"/>
                <w:sz w:val="22"/>
                <w:szCs w:val="22"/>
                <w:u w:val="none"/>
              </w:rPr>
            </w:pPr>
          </w:p>
        </w:tc>
        <w:tc>
          <w:tcPr>
            <w:tcW w:w="298" w:type="dxa"/>
            <w:shd w:val="clear"/>
            <w:vAlign w:val="center"/>
          </w:tcPr>
          <w:p>
            <w:pPr>
              <w:rPr>
                <w:rFonts w:hint="eastAsia" w:ascii="宋体" w:hAnsi="宋体" w:eastAsia="宋体" w:cs="宋体"/>
                <w:i w:val="0"/>
                <w:color w:val="000000"/>
                <w:sz w:val="22"/>
                <w:szCs w:val="22"/>
                <w:u w:val="none"/>
              </w:rPr>
            </w:pPr>
          </w:p>
        </w:tc>
        <w:tc>
          <w:tcPr>
            <w:tcW w:w="1467" w:type="dxa"/>
            <w:shd w:val="clear"/>
            <w:vAlign w:val="center"/>
          </w:tcPr>
          <w:p>
            <w:pPr>
              <w:rPr>
                <w:rFonts w:hint="eastAsia" w:ascii="宋体" w:hAnsi="宋体" w:eastAsia="宋体" w:cs="宋体"/>
                <w:i w:val="0"/>
                <w:color w:val="000000"/>
                <w:sz w:val="22"/>
                <w:szCs w:val="22"/>
                <w:u w:val="none"/>
              </w:rPr>
            </w:pPr>
          </w:p>
        </w:tc>
        <w:tc>
          <w:tcPr>
            <w:tcW w:w="849" w:type="dxa"/>
            <w:shd w:val="clear"/>
            <w:vAlign w:val="center"/>
          </w:tcPr>
          <w:p>
            <w:pPr>
              <w:rPr>
                <w:rFonts w:hint="eastAsia" w:ascii="宋体" w:hAnsi="宋体" w:eastAsia="宋体" w:cs="宋体"/>
                <w:i w:val="0"/>
                <w:color w:val="000000"/>
                <w:sz w:val="22"/>
                <w:szCs w:val="22"/>
                <w:u w:val="none"/>
              </w:rPr>
            </w:pPr>
          </w:p>
        </w:tc>
        <w:tc>
          <w:tcPr>
            <w:tcW w:w="320" w:type="dxa"/>
            <w:shd w:val="clear"/>
            <w:vAlign w:val="center"/>
          </w:tcPr>
          <w:p>
            <w:pPr>
              <w:rPr>
                <w:rFonts w:hint="eastAsia" w:ascii="宋体" w:hAnsi="宋体" w:eastAsia="宋体" w:cs="宋体"/>
                <w:i w:val="0"/>
                <w:color w:val="000000"/>
                <w:sz w:val="22"/>
                <w:szCs w:val="22"/>
                <w:u w:val="none"/>
              </w:rPr>
            </w:pPr>
          </w:p>
        </w:tc>
        <w:tc>
          <w:tcPr>
            <w:tcW w:w="452" w:type="dxa"/>
            <w:shd w:val="clear"/>
            <w:vAlign w:val="center"/>
          </w:tcPr>
          <w:p>
            <w:pPr>
              <w:rPr>
                <w:rFonts w:hint="eastAsia" w:ascii="宋体" w:hAnsi="宋体" w:eastAsia="宋体" w:cs="宋体"/>
                <w:i w:val="0"/>
                <w:color w:val="000000"/>
                <w:sz w:val="22"/>
                <w:szCs w:val="22"/>
                <w:u w:val="none"/>
              </w:rPr>
            </w:pPr>
          </w:p>
        </w:tc>
        <w:tc>
          <w:tcPr>
            <w:tcW w:w="474" w:type="dxa"/>
            <w:shd w:val="clear"/>
            <w:vAlign w:val="center"/>
          </w:tcPr>
          <w:p>
            <w:pPr>
              <w:rPr>
                <w:rFonts w:hint="eastAsia" w:ascii="宋体" w:hAnsi="宋体" w:eastAsia="宋体" w:cs="宋体"/>
                <w:i w:val="0"/>
                <w:color w:val="000000"/>
                <w:sz w:val="22"/>
                <w:szCs w:val="22"/>
                <w:u w:val="none"/>
              </w:rPr>
            </w:pPr>
          </w:p>
        </w:tc>
        <w:tc>
          <w:tcPr>
            <w:tcW w:w="508" w:type="dxa"/>
            <w:shd w:val="clear"/>
            <w:vAlign w:val="center"/>
          </w:tcPr>
          <w:p>
            <w:pPr>
              <w:rPr>
                <w:rFonts w:hint="eastAsia" w:ascii="宋体" w:hAnsi="宋体" w:eastAsia="宋体" w:cs="宋体"/>
                <w:i w:val="0"/>
                <w:color w:val="000000"/>
                <w:sz w:val="22"/>
                <w:szCs w:val="22"/>
                <w:u w:val="none"/>
              </w:rPr>
            </w:pPr>
          </w:p>
        </w:tc>
        <w:tc>
          <w:tcPr>
            <w:tcW w:w="1356"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jc w:val="center"/>
        </w:trPr>
        <w:tc>
          <w:tcPr>
            <w:tcW w:w="32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上年结转</w:t>
            </w: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一般公共预算拨款收入</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政府性基金预算拨款收入</w:t>
            </w: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事业收入</w:t>
            </w: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事业单位经营收入</w:t>
            </w: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上级补助收入</w:t>
            </w: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下级单位上缴收入</w:t>
            </w: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其他收入</w:t>
            </w: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一般公共服务支出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24,354,275.75</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24,354,275.75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政府办公厅（室）及相关机构事务</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24,304,275.75</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24,304,275.75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2010301</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15,861,875.75</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15,861,875.75</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2010303</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机关服务</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4,037,400.00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4,037,400.00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2010308</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信访事务</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2010399</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其他政府办公厅（室）及相关机构事务支出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4,365,000.00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4,365,000.00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其他一般公共服务支出</w:t>
            </w:r>
          </w:p>
        </w:tc>
        <w:tc>
          <w:tcPr>
            <w:tcW w:w="147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2019999</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其他一般公共服务支出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社会保障和就业支出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行政事业单位离退休</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19,273,061.98</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2080501</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归口管理的行政单位离退休</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2,296,926.00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2,296,926.00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2080504</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未归口管理的行政单位离退休</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16,976,135.98</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16,976,135.98</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农林水支出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5,012,500.00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5,012,500.00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农业</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5,012,500.00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5,012,500.00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2130126</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农村公益事业</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4,400,000.00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4,400,000.00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2130199</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其他农业支出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612,500.00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612,500.00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商业服务业等支出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旅游业管理与服务支出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2,182,698.00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2160501</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行政运行</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781,098.00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2160504</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旅游宣传</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60,000.00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2160599</w:t>
            </w:r>
          </w:p>
        </w:tc>
        <w:tc>
          <w:tcPr>
            <w:tcW w:w="24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其他旅游业管理与服务支出</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1,341,600.00</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1,341,600.00</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32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 计</w:t>
            </w:r>
          </w:p>
        </w:tc>
        <w:tc>
          <w:tcPr>
            <w:tcW w:w="14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29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50,822,535.73</w:t>
            </w:r>
          </w:p>
        </w:tc>
        <w:tc>
          <w:tcPr>
            <w:tcW w:w="84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32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7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40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9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tbl>
      <w:tblPr>
        <w:tblW w:w="99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96"/>
        <w:gridCol w:w="3107"/>
        <w:gridCol w:w="1406"/>
        <w:gridCol w:w="1422"/>
        <w:gridCol w:w="1048"/>
        <w:gridCol w:w="562"/>
        <w:gridCol w:w="791"/>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0" w:hRule="atLeast"/>
          <w:jc w:val="center"/>
        </w:trPr>
        <w:tc>
          <w:tcPr>
            <w:tcW w:w="796" w:type="dxa"/>
            <w:shd w:val="clear"/>
            <w:vAlign w:val="center"/>
          </w:tcPr>
          <w:p>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表8</w:t>
            </w:r>
          </w:p>
        </w:tc>
        <w:tc>
          <w:tcPr>
            <w:tcW w:w="9195" w:type="dxa"/>
            <w:gridSpan w:val="7"/>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部门支出决算总表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shd w:val="clear"/>
            <w:vAlign w:val="center"/>
          </w:tcPr>
          <w:p>
            <w:pPr>
              <w:jc w:val="left"/>
              <w:rPr>
                <w:rFonts w:hint="eastAsia" w:ascii="宋体" w:hAnsi="宋体" w:eastAsia="宋体" w:cs="宋体"/>
                <w:i w:val="0"/>
                <w:color w:val="000000"/>
                <w:sz w:val="21"/>
                <w:szCs w:val="21"/>
                <w:u w:val="none"/>
              </w:rPr>
            </w:pPr>
          </w:p>
        </w:tc>
        <w:tc>
          <w:tcPr>
            <w:tcW w:w="3107" w:type="dxa"/>
            <w:shd w:val="clear"/>
            <w:vAlign w:val="center"/>
          </w:tcPr>
          <w:p>
            <w:pPr>
              <w:rPr>
                <w:rFonts w:hint="eastAsia" w:ascii="宋体" w:hAnsi="宋体" w:eastAsia="宋体" w:cs="宋体"/>
                <w:i w:val="0"/>
                <w:color w:val="000000"/>
                <w:sz w:val="22"/>
                <w:szCs w:val="22"/>
                <w:u w:val="none"/>
              </w:rPr>
            </w:pPr>
          </w:p>
        </w:tc>
        <w:tc>
          <w:tcPr>
            <w:tcW w:w="1406" w:type="dxa"/>
            <w:shd w:val="clear"/>
            <w:vAlign w:val="center"/>
          </w:tcPr>
          <w:p>
            <w:pPr>
              <w:rPr>
                <w:rFonts w:hint="eastAsia" w:ascii="宋体" w:hAnsi="宋体" w:eastAsia="宋体" w:cs="宋体"/>
                <w:i w:val="0"/>
                <w:color w:val="000000"/>
                <w:sz w:val="22"/>
                <w:szCs w:val="22"/>
                <w:u w:val="none"/>
              </w:rPr>
            </w:pPr>
          </w:p>
        </w:tc>
        <w:tc>
          <w:tcPr>
            <w:tcW w:w="1422" w:type="dxa"/>
            <w:shd w:val="clear"/>
            <w:vAlign w:val="center"/>
          </w:tcPr>
          <w:p>
            <w:pPr>
              <w:rPr>
                <w:rFonts w:hint="eastAsia" w:ascii="宋体" w:hAnsi="宋体" w:eastAsia="宋体" w:cs="宋体"/>
                <w:i w:val="0"/>
                <w:color w:val="000000"/>
                <w:sz w:val="22"/>
                <w:szCs w:val="22"/>
                <w:u w:val="none"/>
              </w:rPr>
            </w:pPr>
          </w:p>
        </w:tc>
        <w:tc>
          <w:tcPr>
            <w:tcW w:w="1048" w:type="dxa"/>
            <w:shd w:val="clear"/>
            <w:vAlign w:val="center"/>
          </w:tcPr>
          <w:p>
            <w:pPr>
              <w:rPr>
                <w:rFonts w:hint="eastAsia" w:ascii="宋体" w:hAnsi="宋体" w:eastAsia="宋体" w:cs="宋体"/>
                <w:i w:val="0"/>
                <w:color w:val="000000"/>
                <w:sz w:val="22"/>
                <w:szCs w:val="22"/>
                <w:u w:val="none"/>
              </w:rPr>
            </w:pPr>
          </w:p>
        </w:tc>
        <w:tc>
          <w:tcPr>
            <w:tcW w:w="562" w:type="dxa"/>
            <w:shd w:val="clear"/>
            <w:vAlign w:val="center"/>
          </w:tcPr>
          <w:p>
            <w:pPr>
              <w:rPr>
                <w:rFonts w:hint="eastAsia" w:ascii="宋体" w:hAnsi="宋体" w:eastAsia="宋体" w:cs="宋体"/>
                <w:i w:val="0"/>
                <w:color w:val="000000"/>
                <w:sz w:val="22"/>
                <w:szCs w:val="22"/>
                <w:u w:val="none"/>
              </w:rPr>
            </w:pPr>
          </w:p>
        </w:tc>
        <w:tc>
          <w:tcPr>
            <w:tcW w:w="1650" w:type="dxa"/>
            <w:gridSpan w:val="2"/>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90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基本支出</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项目支出</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上缴上级支出</w:t>
            </w: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事业单位经营支出</w:t>
            </w: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对下级单位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科目编码</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科目名称</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24,354,275.75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20,039,275.75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24,304,275.75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20,039,275.75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4,265,000.00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15,861,875.75</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15,861,875.75</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2010303</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机关服务</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4,037,400.00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4,037,400.00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2010308</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信访事务</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40,000.00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4,365,000.00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100,000.00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4,265,000.00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其他一般公共服务支出</w:t>
            </w:r>
          </w:p>
        </w:tc>
        <w:tc>
          <w:tcPr>
            <w:tcW w:w="140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2019999</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其他一般公共服务支出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19,273,061.98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19,273,061.98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19,273,061.98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19,273,061.98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2,296,926.00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2,296,926.00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2080504</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未归口管理的行政单位离退休</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16,976,135.98</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16,976,135.98</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5,012,500.00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5,012,500.00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w:t>
            </w:r>
          </w:p>
        </w:tc>
        <w:tc>
          <w:tcPr>
            <w:tcW w:w="1406"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5,012,500.00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5,012,500.00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2130126</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农村公益事业</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4,400,000.00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2130199</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其他农业支出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612,500.00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612,500.00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2,182,698.00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781,098.00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1,401,600.00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旅游业管理与服务支出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2,182,698.00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781,098.00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1,401,600.00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2160501</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781,098.00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781,098.00</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2160504</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旅游宣传</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2160599</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其他旅游业管理与服务支出</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1,341,600.00</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1341600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31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4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50,822,535.73</w:t>
            </w:r>
          </w:p>
        </w:tc>
        <w:tc>
          <w:tcPr>
            <w:tcW w:w="1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40,093,435.73</w:t>
            </w:r>
          </w:p>
        </w:tc>
        <w:tc>
          <w:tcPr>
            <w:tcW w:w="10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10729100</w:t>
            </w:r>
          </w:p>
        </w:tc>
        <w:tc>
          <w:tcPr>
            <w:tcW w:w="56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c>
          <w:tcPr>
            <w:tcW w:w="85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1"/>
                <w:szCs w:val="21"/>
                <w:u w:val="none"/>
              </w:rPr>
            </w:pPr>
          </w:p>
        </w:tc>
      </w:tr>
    </w:tbl>
    <w:p>
      <w:pPr>
        <w:jc w:val="center"/>
        <w:rPr>
          <w:rFonts w:hint="eastAsia" w:ascii="方正小标宋简体" w:hAnsi="方正小标宋简体" w:eastAsia="方正小标宋简体" w:cs="方正小标宋简体"/>
          <w:sz w:val="84"/>
          <w:szCs w:val="84"/>
        </w:rPr>
      </w:pPr>
    </w:p>
    <w:p>
      <w:pPr>
        <w:jc w:val="center"/>
        <w:rPr>
          <w:rFonts w:hint="eastAsia" w:ascii="方正小标宋简体" w:hAnsi="方正小标宋简体" w:eastAsia="方正小标宋简体" w:cs="方正小标宋简体"/>
          <w:sz w:val="84"/>
          <w:szCs w:val="84"/>
        </w:rPr>
      </w:pPr>
    </w:p>
    <w:p>
      <w:pPr>
        <w:jc w:val="both"/>
        <w:rPr>
          <w:rFonts w:hint="eastAsia"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第三部分</w:t>
      </w:r>
    </w:p>
    <w:p/>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 xml:space="preserve">乃东区人民政府办公室 </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56"/>
          <w:szCs w:val="56"/>
          <w:lang w:val="en-US" w:eastAsia="zh-CN"/>
        </w:rPr>
        <w:t>2016</w:t>
      </w:r>
      <w:r>
        <w:rPr>
          <w:rFonts w:hint="eastAsia" w:ascii="方正小标宋简体" w:hAnsi="方正小标宋简体" w:eastAsia="方正小标宋简体" w:cs="方正小标宋简体"/>
          <w:sz w:val="56"/>
          <w:szCs w:val="56"/>
        </w:rPr>
        <w:t>年部门预算数据分析</w:t>
      </w:r>
    </w:p>
    <w:p>
      <w:pPr>
        <w:jc w:val="center"/>
        <w:rPr>
          <w:rFonts w:ascii="方正小标宋简体" w:hAnsi="方正小标宋简体" w:eastAsia="方正小标宋简体" w:cs="方正小标宋简体"/>
          <w:sz w:val="72"/>
          <w:szCs w:val="72"/>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rPr>
          <w:rFonts w:ascii="仿宋_GB2312" w:hAnsi="仿宋_GB2312" w:eastAsia="仿宋_GB2312" w:cs="仿宋_GB2312"/>
          <w:sz w:val="84"/>
          <w:szCs w:val="84"/>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一、2016年度财政拨款收支决算总体情况说明</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32"/>
          <w14:textFill>
            <w14:solidFill>
              <w14:schemeClr w14:val="tx1"/>
            </w14:solidFill>
          </w14:textFill>
        </w:rPr>
        <w:t>收入全部为一般公共预算拨款，无政府性基金预算拨款</w:t>
      </w:r>
      <w:r>
        <w:rPr>
          <w:rFonts w:hint="eastAsia" w:ascii="仿宋_GB2312" w:hAnsi="仿宋_GB2312" w:eastAsia="仿宋_GB2312" w:cs="仿宋_GB2312"/>
          <w:color w:val="000000" w:themeColor="text1"/>
          <w:sz w:val="32"/>
          <w:szCs w:val="26"/>
          <w14:textFill>
            <w14:solidFill>
              <w14:schemeClr w14:val="tx1"/>
            </w14:solidFill>
          </w14:textFill>
        </w:rPr>
        <w:t>。本年实际支出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一般公共服务</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二、2016年度一般公共预算当年财政拨款支出决算情况说明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26"/>
          <w14:textFill>
            <w14:solidFill>
              <w14:schemeClr w14:val="tx1"/>
            </w14:solidFill>
          </w14:textFill>
        </w:rPr>
        <w:t>（一）一般公共预算当年财政拨款决算规模变化情况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与上年决算数同口径比较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2016年一般公共预算当年财政拨款支出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50822535.73元；</w:t>
      </w:r>
      <w:r>
        <w:rPr>
          <w:rFonts w:hint="eastAsia" w:ascii="仿宋_GB2312" w:hAnsi="仿宋_GB2312" w:eastAsia="仿宋_GB2312" w:cs="仿宋_GB2312"/>
          <w:color w:val="000000" w:themeColor="text1"/>
          <w:sz w:val="32"/>
          <w:szCs w:val="26"/>
          <w14:textFill>
            <w14:solidFill>
              <w14:schemeClr w14:val="tx1"/>
            </w14:solidFill>
          </w14:textFill>
        </w:rPr>
        <w:t>201</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26"/>
          <w14:textFill>
            <w14:solidFill>
              <w14:schemeClr w14:val="tx1"/>
            </w14:solidFill>
          </w14:textFill>
        </w:rPr>
        <w:t>年一般公共</w:t>
      </w:r>
      <w:r>
        <w:rPr>
          <w:rFonts w:hint="eastAsia" w:ascii="仿宋_GB2312" w:hAnsi="仿宋_GB2312" w:eastAsia="仿宋_GB2312" w:cs="仿宋_GB2312"/>
          <w:color w:val="000000" w:themeColor="text1"/>
          <w:sz w:val="32"/>
          <w:szCs w:val="26"/>
          <w:lang w:eastAsia="zh-CN"/>
          <w14:textFill>
            <w14:solidFill>
              <w14:schemeClr w14:val="tx1"/>
            </w14:solidFill>
          </w14:textFill>
        </w:rPr>
        <w:t>决算</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104725953.11</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，同比减少</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53903417.38元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（二）一般公共预算当年财政拨款决算结构情况</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一般公共预算当年财政拨款决算支出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元。其中：</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一般公共服务</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元，占一般公共预算当年财政拨款决算支出的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（三）一般公共预算当年财政拨款决算具体使用情况</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一般公共服务</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24354275.75</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w:t>
      </w:r>
      <w:r>
        <w:rPr>
          <w:rFonts w:hint="eastAsia" w:ascii="仿宋_GB2312" w:hAnsi="仿宋_GB2312" w:eastAsia="仿宋_GB2312" w:cs="仿宋_GB2312"/>
          <w:color w:val="000000" w:themeColor="text1"/>
          <w:sz w:val="32"/>
          <w:szCs w:val="26"/>
          <w:lang w:eastAsia="zh-CN"/>
          <w14:textFill>
            <w14:solidFill>
              <w14:schemeClr w14:val="tx1"/>
            </w14:solidFill>
          </w14:textFill>
        </w:rPr>
        <w:t>政府办公厅（室）及相关机构事务</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24304275.75</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（1）行政运行支出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15861875.75</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26"/>
          <w:lang w:eastAsia="zh-CN"/>
          <w14:textFill>
            <w14:solidFill>
              <w14:schemeClr w14:val="tx1"/>
            </w14:solidFill>
          </w14:textFill>
        </w:rPr>
        <w:t>）机关服务支出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4037400元。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（3）信访事务支出40000元。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（4）其他政府办公厅（室）及相关机构事务支出4365000元。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2、其他一般公共服务支出50000元。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（1）其他一般公共服务支出50000元。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社会保障和就业支出19273061.98元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1、行政事业单位离退休19273061.98元。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（1）归口管理的行政单位离退休2296926元。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（2）未归口管理的行政单位离退休16976135.98元。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农林水支出5012500元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1、农业支出5012500元。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（1）农村公益事业4400000元。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（2）其他农业支出612500元。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商业服务业等支出2182698元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1、旅游业管理与服务支出2182698元。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（1）行政运行781098元。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（2）旅游宣传60000元。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（3）其他旅游业管理服务支出1341600元。</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三、2016年度一般公共预算基本支出决算情况说明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2016年度一般公共预算基本支出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40093435.73</w:t>
      </w:r>
      <w:r>
        <w:rPr>
          <w:rFonts w:hint="eastAsia" w:ascii="仿宋_GB2312" w:hAnsi="仿宋_GB2312" w:eastAsia="仿宋_GB2312" w:cs="仿宋_GB2312"/>
          <w:color w:val="000000" w:themeColor="text1"/>
          <w:sz w:val="32"/>
          <w:szCs w:val="26"/>
          <w14:textFill>
            <w14:solidFill>
              <w14:schemeClr w14:val="tx1"/>
            </w14:solidFill>
          </w14:textFill>
        </w:rPr>
        <w:t>元。其中：工资福利支出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16682054.75</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41.61</w:t>
      </w:r>
      <w:r>
        <w:rPr>
          <w:rFonts w:hint="eastAsia" w:ascii="仿宋_GB2312" w:hAnsi="仿宋_GB2312" w:eastAsia="仿宋_GB2312" w:cs="仿宋_GB2312"/>
          <w:color w:val="000000" w:themeColor="text1"/>
          <w:sz w:val="32"/>
          <w:szCs w:val="26"/>
          <w14:textFill>
            <w14:solidFill>
              <w14:schemeClr w14:val="tx1"/>
            </w14:solidFill>
          </w14:textFill>
        </w:rPr>
        <w:t>%。商品服务支出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3553961</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8.86</w:t>
      </w:r>
      <w:r>
        <w:rPr>
          <w:rFonts w:hint="eastAsia" w:ascii="仿宋_GB2312" w:hAnsi="仿宋_GB2312" w:eastAsia="仿宋_GB2312" w:cs="仿宋_GB2312"/>
          <w:color w:val="000000" w:themeColor="text1"/>
          <w:sz w:val="32"/>
          <w:szCs w:val="26"/>
          <w14:textFill>
            <w14:solidFill>
              <w14:schemeClr w14:val="tx1"/>
            </w14:solidFill>
          </w14:textFill>
        </w:rPr>
        <w:t>%，对个人和家庭补助支出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19857419.98</w:t>
      </w:r>
      <w:r>
        <w:rPr>
          <w:rFonts w:hint="eastAsia" w:ascii="仿宋_GB2312" w:hAnsi="仿宋_GB2312" w:eastAsia="仿宋_GB2312" w:cs="仿宋_GB2312"/>
          <w:color w:val="000000" w:themeColor="text1"/>
          <w:sz w:val="32"/>
          <w:szCs w:val="26"/>
          <w14:textFill>
            <w14:solidFill>
              <w14:schemeClr w14:val="tx1"/>
            </w14:solidFill>
          </w14:textFill>
        </w:rPr>
        <w:t>元，占一般公共预算基本支出的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49.53</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ind w:firstLine="640" w:firstLineChars="20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四、2016年“三公”经费决算情况说明</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2016年三公经费决算支出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1042383元，实际支出1042383</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14:textFill>
            <w14:solidFill>
              <w14:schemeClr w14:val="tx1"/>
            </w14:solidFill>
          </w14:textFill>
        </w:rPr>
        <w:t>2015年</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三公经费决算支出2540643.91元，同比减少1498260.91元</w:t>
      </w:r>
      <w:r>
        <w:rPr>
          <w:rFonts w:hint="eastAsia" w:ascii="仿宋_GB2312" w:hAnsi="仿宋_GB2312" w:eastAsia="仿宋_GB2312" w:cs="仿宋_GB2312"/>
          <w:color w:val="000000" w:themeColor="text1"/>
          <w:sz w:val="32"/>
          <w:szCs w:val="26"/>
          <w14:textFill>
            <w14:solidFill>
              <w14:schemeClr w14:val="tx1"/>
            </w14:solidFill>
          </w14:textFill>
        </w:rPr>
        <w:t>。</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444444"/>
          <w:sz w:val="32"/>
          <w:szCs w:val="26"/>
        </w:rPr>
        <w:t>　</w:t>
      </w:r>
      <w:r>
        <w:rPr>
          <w:rFonts w:hint="eastAsia" w:ascii="仿宋_GB2312" w:hAnsi="仿宋_GB2312" w:eastAsia="仿宋_GB2312" w:cs="仿宋_GB2312"/>
          <w:color w:val="FF0000"/>
          <w:sz w:val="32"/>
          <w:szCs w:val="26"/>
        </w:rPr>
        <w:t>　</w:t>
      </w:r>
      <w:r>
        <w:rPr>
          <w:rFonts w:hint="eastAsia" w:ascii="仿宋_GB2312" w:hAnsi="仿宋_GB2312" w:eastAsia="仿宋_GB2312" w:cs="仿宋_GB2312"/>
          <w:color w:val="000000" w:themeColor="text1"/>
          <w:sz w:val="32"/>
          <w:szCs w:val="26"/>
          <w14:textFill>
            <w14:solidFill>
              <w14:schemeClr w14:val="tx1"/>
            </w14:solidFill>
          </w14:textFill>
        </w:rPr>
        <w:t>（一）公务接待费用</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2016年公务接待费预算指标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200000</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200000</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2015年公务接待费决算支出815819元，同比减少615819元。</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（二）因公出国（境）费</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2016年无因公出国（境）事项，未产生因公出国（境）费用。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（三）公务用车运行费用</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2016年公务用车运行维护费预算指标</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842383</w:t>
      </w:r>
      <w:r>
        <w:rPr>
          <w:rFonts w:hint="eastAsia" w:ascii="仿宋_GB2312" w:hAnsi="仿宋_GB2312" w:eastAsia="仿宋_GB2312" w:cs="仿宋_GB2312"/>
          <w:color w:val="000000" w:themeColor="text1"/>
          <w:sz w:val="32"/>
          <w:szCs w:val="26"/>
          <w14:textFill>
            <w14:solidFill>
              <w14:schemeClr w14:val="tx1"/>
            </w14:solidFill>
          </w14:textFill>
        </w:rPr>
        <w:t>元。实际支出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842383</w:t>
      </w:r>
      <w:r>
        <w:rPr>
          <w:rFonts w:hint="eastAsia" w:ascii="仿宋_GB2312" w:hAnsi="仿宋_GB2312" w:eastAsia="仿宋_GB2312" w:cs="仿宋_GB2312"/>
          <w:color w:val="000000" w:themeColor="text1"/>
          <w:sz w:val="32"/>
          <w:szCs w:val="26"/>
          <w14:textFill>
            <w14:solidFill>
              <w14:schemeClr w14:val="tx1"/>
            </w14:solidFill>
          </w14:textFill>
        </w:rPr>
        <w:t>元</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2015年公务用车运行维护费决算支出1724824.91元，同比减少882441.91元。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五、2016年度收支决算总体情况说明</w:t>
      </w:r>
    </w:p>
    <w:p>
      <w:pPr>
        <w:pStyle w:val="4"/>
        <w:shd w:val="clear" w:color="auto" w:fill="FFFFFF"/>
        <w:spacing w:before="0" w:beforeAutospacing="0" w:after="0" w:afterAutospacing="0"/>
        <w:jc w:val="both"/>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元）。本年实际支出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 其中</w:t>
      </w:r>
      <w:r>
        <w:rPr>
          <w:rFonts w:hint="eastAsia" w:ascii="仿宋_GB2312" w:hAnsi="仿宋_GB2312" w:eastAsia="仿宋_GB2312" w:cs="仿宋_GB2312"/>
          <w:color w:val="000000" w:themeColor="text1"/>
          <w:sz w:val="32"/>
          <w:szCs w:val="26"/>
          <w:lang w:eastAsia="zh-CN"/>
          <w14:textFill>
            <w14:solidFill>
              <w14:schemeClr w14:val="tx1"/>
            </w14:solidFill>
          </w14:textFill>
        </w:rPr>
        <w:t>一般公共服务</w:t>
      </w:r>
      <w:r>
        <w:rPr>
          <w:rFonts w:hint="eastAsia" w:ascii="仿宋_GB2312" w:hAnsi="仿宋_GB2312" w:eastAsia="仿宋_GB2312" w:cs="仿宋_GB2312"/>
          <w:color w:val="000000" w:themeColor="text1"/>
          <w:sz w:val="32"/>
          <w:szCs w:val="26"/>
          <w14:textFill>
            <w14:solidFill>
              <w14:schemeClr w14:val="tx1"/>
            </w14:solidFill>
          </w14:textFill>
        </w:rPr>
        <w:t>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w:t>
      </w:r>
    </w:p>
    <w:p>
      <w:pPr>
        <w:pStyle w:val="4"/>
        <w:shd w:val="clear" w:color="auto" w:fill="FFFFFF"/>
        <w:spacing w:before="0" w:beforeAutospacing="0" w:after="0" w:afterAutospacing="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　　六、2016 年度收入决算情况说明</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2016年度可支配收入</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元。其中：2016年财政预算拨款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元（一般公共预算拨款</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　　</w:t>
      </w:r>
    </w:p>
    <w:p>
      <w:pPr>
        <w:pStyle w:val="4"/>
        <w:shd w:val="clear" w:color="auto" w:fill="FFFFFF"/>
        <w:spacing w:before="0" w:beforeAutospacing="0" w:after="0" w:afterAutospacing="0"/>
        <w:ind w:firstLine="640"/>
        <w:rPr>
          <w:rFonts w:hint="eastAsia" w:ascii="仿宋_GB2312" w:hAnsi="仿宋_GB2312" w:eastAsia="仿宋_GB2312" w:cs="仿宋_GB2312"/>
          <w:color w:val="000000" w:themeColor="text1"/>
          <w:sz w:val="32"/>
          <w:szCs w:val="26"/>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七、2016年度支出决算情况说明</w:t>
      </w:r>
    </w:p>
    <w:p>
      <w:pPr>
        <w:pStyle w:val="4"/>
        <w:shd w:val="clear" w:color="auto" w:fill="FFFFFF"/>
        <w:spacing w:before="0" w:beforeAutospacing="0" w:after="0" w:afterAutospacing="0"/>
        <w:ind w:firstLine="640"/>
        <w:rPr>
          <w:rFonts w:hint="eastAsia" w:ascii="微软雅黑" w:hAnsi="微软雅黑" w:eastAsia="仿宋_GB2312"/>
          <w:color w:val="000000" w:themeColor="text1"/>
          <w:sz w:val="32"/>
          <w:szCs w:val="26"/>
          <w:lang w:eastAsia="zh-CN"/>
          <w14:textFill>
            <w14:solidFill>
              <w14:schemeClr w14:val="tx1"/>
            </w14:solidFill>
          </w14:textFill>
        </w:rPr>
      </w:pPr>
      <w:r>
        <w:rPr>
          <w:rFonts w:hint="eastAsia" w:ascii="仿宋_GB2312" w:hAnsi="仿宋_GB2312" w:eastAsia="仿宋_GB2312" w:cs="仿宋_GB2312"/>
          <w:color w:val="000000" w:themeColor="text1"/>
          <w:sz w:val="32"/>
          <w:szCs w:val="26"/>
          <w14:textFill>
            <w14:solidFill>
              <w14:schemeClr w14:val="tx1"/>
            </w14:solidFill>
          </w14:textFill>
        </w:rPr>
        <w:t>2016年度支出</w:t>
      </w:r>
      <w:r>
        <w:rPr>
          <w:rFonts w:hint="eastAsia" w:ascii="仿宋_GB2312" w:hAnsi="仿宋_GB2312" w:eastAsia="仿宋_GB2312" w:cs="仿宋_GB2312"/>
          <w:color w:val="000000" w:themeColor="text1"/>
          <w:sz w:val="32"/>
          <w:szCs w:val="26"/>
          <w:lang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 其中一般公共预算拨款支出</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50822535.73</w:t>
      </w:r>
      <w:r>
        <w:rPr>
          <w:rFonts w:hint="eastAsia" w:ascii="仿宋_GB2312" w:hAnsi="仿宋_GB2312" w:eastAsia="仿宋_GB2312" w:cs="仿宋_GB2312"/>
          <w:color w:val="000000" w:themeColor="text1"/>
          <w:sz w:val="32"/>
          <w:szCs w:val="26"/>
          <w14:textFill>
            <w14:solidFill>
              <w14:schemeClr w14:val="tx1"/>
            </w14:solidFill>
          </w14:textFill>
        </w:rPr>
        <w:t>元,占年度支出的</w:t>
      </w:r>
      <w:r>
        <w:rPr>
          <w:rFonts w:hint="eastAsia" w:ascii="仿宋_GB2312" w:hAnsi="仿宋_GB2312" w:eastAsia="仿宋_GB2312" w:cs="仿宋_GB2312"/>
          <w:color w:val="000000" w:themeColor="text1"/>
          <w:sz w:val="32"/>
          <w:szCs w:val="26"/>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26"/>
          <w14:textFill>
            <w14:solidFill>
              <w14:schemeClr w14:val="tx1"/>
            </w14:solidFill>
          </w14:textFill>
        </w:rPr>
        <w:t>%</w:t>
      </w:r>
      <w:r>
        <w:rPr>
          <w:rFonts w:hint="eastAsia" w:ascii="仿宋_GB2312" w:hAnsi="仿宋_GB2312" w:eastAsia="仿宋_GB2312" w:cs="仿宋_GB2312"/>
          <w:color w:val="000000" w:themeColor="text1"/>
          <w:sz w:val="32"/>
          <w:szCs w:val="26"/>
          <w:lang w:eastAsia="zh-CN"/>
          <w14:textFill>
            <w14:solidFill>
              <w14:schemeClr w14:val="tx1"/>
            </w14:solidFill>
          </w14:textFill>
        </w:rPr>
        <w:t>。</w:t>
      </w: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hint="eastAsia" w:ascii="微软雅黑" w:hAnsi="微软雅黑" w:eastAsia="仿宋"/>
          <w:color w:val="444444"/>
          <w:sz w:val="32"/>
          <w:szCs w:val="26"/>
        </w:rPr>
      </w:pPr>
    </w:p>
    <w:p>
      <w:pPr>
        <w:pStyle w:val="4"/>
        <w:shd w:val="clear" w:color="auto" w:fill="FFFFFF"/>
        <w:spacing w:before="0" w:beforeAutospacing="0" w:after="0" w:afterAutospacing="0"/>
        <w:ind w:firstLine="640"/>
        <w:rPr>
          <w:rFonts w:hint="eastAsia" w:ascii="微软雅黑" w:hAnsi="微软雅黑" w:eastAsia="仿宋"/>
          <w:color w:val="444444"/>
          <w:sz w:val="32"/>
          <w:szCs w:val="26"/>
        </w:rPr>
      </w:pPr>
    </w:p>
    <w:p>
      <w:pPr>
        <w:pStyle w:val="4"/>
        <w:shd w:val="clear" w:color="auto" w:fill="FFFFFF"/>
        <w:spacing w:before="0" w:beforeAutospacing="0" w:after="0" w:afterAutospacing="0"/>
        <w:rPr>
          <w:rFonts w:ascii="微软雅黑" w:hAnsi="微软雅黑" w:eastAsia="仿宋"/>
          <w:color w:val="444444"/>
          <w:sz w:val="32"/>
          <w:szCs w:val="2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bookmarkStart w:id="0" w:name="_GoBack"/>
      <w:bookmarkEnd w:id="0"/>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2520" w:firstLineChars="300"/>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第四部分</w:t>
      </w:r>
    </w:p>
    <w:p>
      <w:pPr>
        <w:rPr>
          <w:rFonts w:ascii="Calibri" w:hAnsi="Calibri" w:eastAsia="宋体" w:cs="Times New Roman"/>
        </w:rPr>
      </w:pPr>
      <w:r>
        <w:rPr>
          <w:rFonts w:hint="eastAsia" w:ascii="Calibri" w:hAnsi="Calibri" w:eastAsia="宋体" w:cs="Times New Roman"/>
        </w:rPr>
        <w:t xml:space="preserve">                             </w:t>
      </w:r>
    </w:p>
    <w:p>
      <w:pPr>
        <w:rPr>
          <w:rFonts w:ascii="Calibri" w:hAnsi="Calibri" w:eastAsia="宋体" w:cs="Times New Roman"/>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名词解释</w:t>
      </w: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rPr>
          <w:rFonts w:ascii="微软雅黑" w:hAnsi="微软雅黑" w:eastAsia="仿宋"/>
          <w:color w:val="444444"/>
          <w:sz w:val="28"/>
          <w:szCs w:val="28"/>
        </w:rPr>
      </w:pPr>
    </w:p>
    <w:p>
      <w:pPr>
        <w:pStyle w:val="4"/>
        <w:shd w:val="clear" w:color="auto" w:fill="FFFFFF"/>
        <w:spacing w:before="0" w:beforeAutospacing="0" w:after="0" w:afterAutospacing="0"/>
        <w:ind w:firstLine="56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444444"/>
          <w:sz w:val="28"/>
          <w:szCs w:val="28"/>
        </w:rPr>
        <w:t>　</w:t>
      </w:r>
      <w:r>
        <w:rPr>
          <w:rFonts w:hint="eastAsia" w:ascii="微软雅黑" w:hAnsi="微软雅黑" w:eastAsia="仿宋"/>
          <w:color w:val="000000" w:themeColor="text1"/>
          <w:sz w:val="32"/>
          <w:szCs w:val="26"/>
          <w14:textFill>
            <w14:solidFill>
              <w14:schemeClr w14:val="tx1"/>
            </w14:solidFill>
          </w14:textFill>
        </w:rPr>
        <w:t>一、“三公”经费</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“三公”经费是指政府部门人员因公出国（境）、公务车内置及运行以及公务所产生的消费，是当前公共行政领域亟待解决的问题之一。</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二、政府性基金</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政府性基金是指和级人民政府及其所属部门根据法律、国家行政法规和中共中央、国务院的有关规定，为支持某项事业发展，按照国家规定程序批准，向公民、法人和其它组织征收的具有专项用途的资金，包括各种基金、资金、附加和专项收费。</w:t>
      </w:r>
    </w:p>
    <w:p>
      <w:pPr>
        <w:pStyle w:val="4"/>
        <w:shd w:val="clear" w:color="auto" w:fill="FFFFFF"/>
        <w:spacing w:before="0" w:beforeAutospacing="0" w:after="0" w:afterAutospacing="0"/>
        <w:ind w:firstLine="640" w:firstLineChars="20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三、一般公共预算</w:t>
      </w:r>
    </w:p>
    <w:p>
      <w:pPr>
        <w:pStyle w:val="4"/>
        <w:shd w:val="clear" w:color="auto" w:fill="FFFFFF"/>
        <w:spacing w:before="0" w:beforeAutospacing="0" w:after="0" w:afterAutospacing="0"/>
        <w:rPr>
          <w:rFonts w:ascii="微软雅黑" w:hAnsi="微软雅黑" w:eastAsia="仿宋"/>
          <w:color w:val="000000" w:themeColor="text1"/>
          <w:sz w:val="32"/>
          <w:szCs w:val="26"/>
          <w14:textFill>
            <w14:solidFill>
              <w14:schemeClr w14:val="tx1"/>
            </w14:solidFill>
          </w14:textFill>
        </w:rPr>
      </w:pPr>
      <w:r>
        <w:rPr>
          <w:rFonts w:hint="eastAsia" w:ascii="微软雅黑" w:hAnsi="微软雅黑" w:eastAsia="仿宋"/>
          <w:color w:val="000000" w:themeColor="text1"/>
          <w:sz w:val="32"/>
          <w:szCs w:val="26"/>
          <w14:textFill>
            <w14:solidFill>
              <w14:schemeClr w14:val="tx1"/>
            </w14:solidFill>
          </w14:textFill>
        </w:rPr>
        <w:t>　　一般公共预算是以收税为主的财政收入，安排用于保障和改善民生，推动经济社会发展，维护国家安全，维持国家机构正常运转方面的收支预算。</w:t>
      </w:r>
    </w:p>
    <w:p>
      <w:pPr>
        <w:rPr>
          <w:rFonts w:ascii="仿宋_GB2312" w:hAnsi="仿宋_GB2312" w:eastAsia="仿宋_GB2312" w:cs="仿宋_GB2312"/>
          <w:color w:val="000000" w:themeColor="text1"/>
          <w:sz w:val="84"/>
          <w:szCs w:val="84"/>
          <w14:textFill>
            <w14:solidFill>
              <w14:schemeClr w14:val="tx1"/>
            </w14:solidFill>
          </w14:textFill>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84"/>
          <w:szCs w:val="84"/>
        </w:rPr>
      </w:pPr>
    </w:p>
    <w:sectPr>
      <w:footerReference r:id="rId5"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2D0DE9E6"/>
    <w:multiLevelType w:val="singleLevel"/>
    <w:tmpl w:val="2D0DE9E6"/>
    <w:lvl w:ilvl="0" w:tentative="0">
      <w:start w:val="1"/>
      <w:numFmt w:val="chineseCounting"/>
      <w:suff w:val="nothing"/>
      <w:lvlText w:val="%1、"/>
      <w:lvlJc w:val="left"/>
      <w:rPr>
        <w:rFonts w:hint="eastAsia"/>
      </w:rPr>
    </w:lvl>
  </w:abstractNum>
  <w:abstractNum w:abstractNumId="2">
    <w:nsid w:val="2DD0A523"/>
    <w:multiLevelType w:val="singleLevel"/>
    <w:tmpl w:val="2DD0A523"/>
    <w:lvl w:ilvl="0" w:tentative="0">
      <w:start w:val="1"/>
      <w:numFmt w:val="chineseCounting"/>
      <w:suff w:val="nothing"/>
      <w:lvlText w:val="%1、"/>
      <w:lvlJc w:val="left"/>
      <w:rPr>
        <w:rFonts w:hint="eastAsia"/>
      </w:rPr>
    </w:lvl>
  </w:abstractNum>
  <w:abstractNum w:abstractNumId="3">
    <w:nsid w:val="531C98D2"/>
    <w:multiLevelType w:val="singleLevel"/>
    <w:tmpl w:val="531C98D2"/>
    <w:lvl w:ilvl="0" w:tentative="0">
      <w:start w:val="1"/>
      <w:numFmt w:val="chineseCounting"/>
      <w:suff w:val="space"/>
      <w:lvlText w:val="第%1部分"/>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22F42"/>
    <w:rsid w:val="00092E9F"/>
    <w:rsid w:val="00241D6A"/>
    <w:rsid w:val="005E0307"/>
    <w:rsid w:val="005E5A9D"/>
    <w:rsid w:val="005E6145"/>
    <w:rsid w:val="00835B6B"/>
    <w:rsid w:val="00B824F2"/>
    <w:rsid w:val="00E75848"/>
    <w:rsid w:val="05916A36"/>
    <w:rsid w:val="13F106A8"/>
    <w:rsid w:val="1D9E79D6"/>
    <w:rsid w:val="208D55BA"/>
    <w:rsid w:val="26E57E8B"/>
    <w:rsid w:val="28265A2A"/>
    <w:rsid w:val="28D878CD"/>
    <w:rsid w:val="396D5533"/>
    <w:rsid w:val="3EDC4B6D"/>
    <w:rsid w:val="3EE36A25"/>
    <w:rsid w:val="43603CEB"/>
    <w:rsid w:val="44890A8C"/>
    <w:rsid w:val="45222F42"/>
    <w:rsid w:val="461360DA"/>
    <w:rsid w:val="472A34F9"/>
    <w:rsid w:val="48B676D7"/>
    <w:rsid w:val="4B020017"/>
    <w:rsid w:val="52025299"/>
    <w:rsid w:val="52261CA9"/>
    <w:rsid w:val="5E920A2E"/>
    <w:rsid w:val="60421676"/>
    <w:rsid w:val="609D6910"/>
    <w:rsid w:val="610531C7"/>
    <w:rsid w:val="66516B3F"/>
    <w:rsid w:val="699A1B94"/>
    <w:rsid w:val="6C92316B"/>
    <w:rsid w:val="751203EA"/>
    <w:rsid w:val="770259B3"/>
    <w:rsid w:val="78866231"/>
    <w:rsid w:val="7BCB3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01"/>
    <w:basedOn w:val="5"/>
    <w:qFormat/>
    <w:uiPriority w:val="0"/>
    <w:rPr>
      <w:rFonts w:hint="eastAsia" w:ascii="宋体" w:hAnsi="宋体" w:eastAsia="宋体" w:cs="宋体"/>
      <w:b/>
      <w:color w:val="000000"/>
      <w:sz w:val="24"/>
      <w:szCs w:val="24"/>
      <w:u w:val="none"/>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31"/>
    <w:basedOn w:val="5"/>
    <w:qFormat/>
    <w:uiPriority w:val="0"/>
    <w:rPr>
      <w:rFonts w:hint="eastAsia" w:ascii="宋体" w:hAnsi="宋体" w:eastAsia="宋体" w:cs="宋体"/>
      <w:color w:val="000000"/>
      <w:sz w:val="22"/>
      <w:szCs w:val="22"/>
      <w:u w:val="none"/>
    </w:rPr>
  </w:style>
  <w:style w:type="character" w:customStyle="1" w:styleId="10">
    <w:name w:val="font21"/>
    <w:basedOn w:val="5"/>
    <w:qFormat/>
    <w:uiPriority w:val="0"/>
    <w:rPr>
      <w:rFonts w:hint="eastAsia" w:ascii="宋体" w:hAnsi="宋体" w:eastAsia="宋体" w:cs="宋体"/>
      <w:color w:val="000000"/>
      <w:sz w:val="24"/>
      <w:szCs w:val="24"/>
      <w:u w:val="none"/>
    </w:rPr>
  </w:style>
  <w:style w:type="character" w:customStyle="1" w:styleId="11">
    <w:name w:val="font61"/>
    <w:basedOn w:val="5"/>
    <w:qFormat/>
    <w:uiPriority w:val="0"/>
    <w:rPr>
      <w:rFonts w:hint="eastAsia" w:ascii="宋体" w:hAnsi="宋体" w:eastAsia="宋体" w:cs="宋体"/>
      <w:color w:val="000000"/>
      <w:sz w:val="24"/>
      <w:szCs w:val="24"/>
      <w:u w:val="none"/>
    </w:rPr>
  </w:style>
  <w:style w:type="paragraph" w:customStyle="1" w:styleId="12">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221</Words>
  <Characters>1265</Characters>
  <Lines>10</Lines>
  <Paragraphs>2</Paragraphs>
  <TotalTime>10</TotalTime>
  <ScaleCrop>false</ScaleCrop>
  <LinksUpToDate>false</LinksUpToDate>
  <CharactersWithSpaces>1484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2018-12-15T10:18:00Z</dcterms:created>
  <dc:creator>李正鹏</dc:creator>
  <cp:lastModifiedBy>李正鹏</cp:lastModifiedBy>
  <cp:lastPrinted>2019-01-01T05:29:34Z</cp:lastPrinted>
  <dcterms:modified xsi:type="dcterms:W3CDTF">2019-01-01T06:03:31Z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