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spacing w:line="640" w:lineRule="exact"/>
        <w:jc w:val="center"/>
        <w:rPr>
          <w:rFonts w:hint="eastAsia" w:ascii="黑体" w:eastAsia="黑体"/>
          <w:b/>
          <w:sz w:val="52"/>
          <w:szCs w:val="52"/>
        </w:rPr>
      </w:pPr>
    </w:p>
    <w:p>
      <w:pPr>
        <w:spacing w:line="640" w:lineRule="exact"/>
        <w:jc w:val="center"/>
        <w:rPr>
          <w:rFonts w:hint="eastAsia" w:ascii="仿宋_GB2312" w:eastAsia="仿宋_GB2312"/>
          <w:b/>
          <w:sz w:val="52"/>
          <w:szCs w:val="52"/>
        </w:rPr>
      </w:pPr>
      <w:r>
        <w:rPr>
          <w:rFonts w:hint="eastAsia" w:ascii="仿宋_GB2312" w:eastAsia="仿宋_GB2312"/>
          <w:b/>
          <w:sz w:val="52"/>
          <w:szCs w:val="52"/>
        </w:rPr>
        <w:t>乃东区人民检察院</w:t>
      </w:r>
    </w:p>
    <w:p>
      <w:pPr>
        <w:spacing w:line="640" w:lineRule="exact"/>
        <w:jc w:val="center"/>
        <w:rPr>
          <w:rFonts w:hint="eastAsia" w:ascii="仿宋_GB2312" w:eastAsia="仿宋_GB2312"/>
          <w:b/>
          <w:sz w:val="52"/>
          <w:szCs w:val="52"/>
        </w:rPr>
      </w:pPr>
      <w:r>
        <w:rPr>
          <w:rFonts w:hint="eastAsia" w:ascii="仿宋_GB2312" w:eastAsia="仿宋_GB2312"/>
          <w:b/>
          <w:sz w:val="52"/>
          <w:szCs w:val="52"/>
        </w:rPr>
        <w:t>2016年度部门决算</w:t>
      </w:r>
    </w:p>
    <w:p>
      <w:pPr>
        <w:rPr>
          <w:rFonts w:hint="eastAsia" w:ascii="仿宋_GB2312" w:eastAsia="仿宋_GB2312"/>
          <w:b/>
          <w:sz w:val="44"/>
          <w:szCs w:val="44"/>
        </w:rPr>
      </w:pPr>
    </w:p>
    <w:p>
      <w:pPr>
        <w:rPr>
          <w:rFonts w:hint="eastAsia" w:ascii="仿宋_GB2312" w:eastAsia="仿宋_GB2312"/>
          <w:b/>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sz w:val="44"/>
          <w:szCs w:val="44"/>
        </w:rPr>
      </w:pPr>
    </w:p>
    <w:p>
      <w:pPr>
        <w:rPr>
          <w:rFonts w:hint="eastAsia"/>
          <w:sz w:val="44"/>
          <w:szCs w:val="44"/>
        </w:rPr>
      </w:pPr>
    </w:p>
    <w:p>
      <w:pPr>
        <w:rPr>
          <w:rFonts w:hint="eastAsia"/>
          <w:sz w:val="44"/>
          <w:szCs w:val="44"/>
        </w:rPr>
      </w:pPr>
    </w:p>
    <w:p>
      <w:pPr>
        <w:rPr>
          <w:rFonts w:hint="eastAsia"/>
          <w:sz w:val="44"/>
          <w:szCs w:val="44"/>
        </w:rPr>
      </w:pPr>
    </w:p>
    <w:p>
      <w:pPr>
        <w:spacing w:before="312" w:beforeLines="100" w:after="312" w:afterLines="100" w:line="460" w:lineRule="exact"/>
        <w:jc w:val="center"/>
        <w:rPr>
          <w:rFonts w:hint="eastAsia" w:ascii="宋体" w:hAnsi="宋体"/>
          <w:b/>
          <w:bCs/>
          <w:sz w:val="48"/>
          <w:szCs w:val="48"/>
        </w:rPr>
      </w:pPr>
      <w:r>
        <w:rPr>
          <w:rFonts w:hint="eastAsia" w:ascii="宋体" w:hAnsi="宋体"/>
          <w:b/>
          <w:bCs/>
          <w:sz w:val="48"/>
          <w:szCs w:val="48"/>
        </w:rPr>
        <w:t>目 录</w:t>
      </w:r>
    </w:p>
    <w:p>
      <w:pPr>
        <w:spacing w:before="312" w:beforeLines="100" w:after="312" w:afterLines="100" w:line="460" w:lineRule="exact"/>
        <w:jc w:val="center"/>
        <w:rPr>
          <w:rFonts w:hint="eastAsia" w:ascii="宋体" w:hAnsi="宋体"/>
          <w:b/>
          <w:bCs/>
          <w:sz w:val="48"/>
          <w:szCs w:val="48"/>
        </w:rPr>
      </w:pPr>
    </w:p>
    <w:p>
      <w:pPr>
        <w:spacing w:before="312" w:beforeLines="100" w:after="312" w:afterLines="100" w:line="460" w:lineRule="exact"/>
        <w:rPr>
          <w:rFonts w:hint="eastAsia" w:ascii="黑体" w:hAnsi="宋体" w:eastAsia="黑体"/>
          <w:b/>
          <w:bCs/>
          <w:sz w:val="32"/>
          <w:szCs w:val="32"/>
        </w:rPr>
      </w:pPr>
      <w:r>
        <w:rPr>
          <w:rFonts w:hint="eastAsia" w:ascii="黑体" w:hAnsi="宋体" w:eastAsia="黑体"/>
          <w:b/>
          <w:bCs/>
          <w:sz w:val="32"/>
          <w:szCs w:val="32"/>
        </w:rPr>
        <w:t>第一部分  乃东区人民检察院概况</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一、预算部门主要职责</w:t>
      </w:r>
    </w:p>
    <w:p>
      <w:pPr>
        <w:numPr>
          <w:ilvl w:val="0"/>
          <w:numId w:val="1"/>
        </w:num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预算部门单位构成</w:t>
      </w:r>
    </w:p>
    <w:p>
      <w:pPr>
        <w:spacing w:before="312" w:beforeLines="100" w:after="312" w:afterLines="100" w:line="460" w:lineRule="exact"/>
        <w:rPr>
          <w:rFonts w:hint="eastAsia" w:ascii="黑体" w:hAnsi="宋体" w:eastAsia="黑体"/>
          <w:b/>
          <w:bCs/>
          <w:sz w:val="32"/>
          <w:szCs w:val="32"/>
        </w:rPr>
      </w:pPr>
      <w:r>
        <w:rPr>
          <w:rFonts w:hint="eastAsia" w:ascii="黑体" w:hAnsi="宋体" w:eastAsia="黑体"/>
          <w:b/>
          <w:bCs/>
          <w:sz w:val="32"/>
          <w:szCs w:val="32"/>
        </w:rPr>
        <w:t>第二部分  年度部门决算明细表</w:t>
      </w:r>
    </w:p>
    <w:p>
      <w:pPr>
        <w:numPr>
          <w:ilvl w:val="0"/>
          <w:numId w:val="2"/>
        </w:num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财政拨款收支总表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二、一般公共预算支出表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三、一般公共预算基本支出表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四、一般公共预算“三公”经费支出表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五、政府性基金预算支出表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六、部门收支总表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七、部门收入总表</w:t>
      </w:r>
    </w:p>
    <w:p>
      <w:pPr>
        <w:spacing w:before="312" w:beforeLines="100" w:after="312" w:afterLines="100" w:line="460" w:lineRule="exact"/>
        <w:rPr>
          <w:rFonts w:hint="eastAsia" w:ascii="方正楷体简体" w:hAnsi="宋体" w:eastAsia="方正楷体简体"/>
          <w:b/>
          <w:bCs/>
          <w:sz w:val="32"/>
          <w:szCs w:val="32"/>
        </w:rPr>
      </w:pPr>
      <w:r>
        <w:rPr>
          <w:rFonts w:hint="eastAsia" w:ascii="方正楷体简体" w:hAnsi="宋体" w:eastAsia="方正楷体简体"/>
          <w:b/>
          <w:bCs/>
          <w:sz w:val="32"/>
          <w:szCs w:val="32"/>
        </w:rPr>
        <w:t>八、部门支出总表</w:t>
      </w:r>
    </w:p>
    <w:p>
      <w:pPr>
        <w:spacing w:before="312" w:beforeLines="100" w:after="312" w:afterLines="100" w:line="460" w:lineRule="exact"/>
        <w:rPr>
          <w:rFonts w:hint="eastAsia" w:ascii="黑体" w:hAnsi="宋体" w:eastAsia="黑体"/>
          <w:b/>
          <w:bCs/>
          <w:sz w:val="32"/>
          <w:szCs w:val="32"/>
        </w:rPr>
      </w:pPr>
      <w:r>
        <w:rPr>
          <w:rFonts w:hint="eastAsia" w:ascii="黑体" w:hAnsi="宋体" w:eastAsia="黑体"/>
          <w:b/>
          <w:bCs/>
          <w:sz w:val="32"/>
          <w:szCs w:val="32"/>
        </w:rPr>
        <w:t>第三部分 乃东区人民检察院2016年度部门决算情况说明</w:t>
      </w:r>
    </w:p>
    <w:p>
      <w:pPr>
        <w:spacing w:before="312" w:beforeLines="100" w:after="312" w:afterLines="100" w:line="460" w:lineRule="exact"/>
        <w:rPr>
          <w:rFonts w:hint="eastAsia" w:ascii="黑体" w:hAnsi="宋体" w:eastAsia="黑体"/>
          <w:b/>
          <w:bCs/>
          <w:sz w:val="32"/>
          <w:szCs w:val="32"/>
        </w:rPr>
      </w:pPr>
      <w:r>
        <w:rPr>
          <w:rFonts w:hint="eastAsia" w:ascii="黑体" w:hAnsi="宋体" w:eastAsia="黑体"/>
          <w:b/>
          <w:bCs/>
          <w:sz w:val="32"/>
          <w:szCs w:val="32"/>
        </w:rPr>
        <w:t>第四部分、名词解释</w:t>
      </w:r>
    </w:p>
    <w:p>
      <w:pPr>
        <w:spacing w:line="460" w:lineRule="exact"/>
        <w:rPr>
          <w:rFonts w:hint="eastAsia" w:ascii="宋体" w:hAnsi="宋体"/>
          <w:b/>
          <w:bCs/>
          <w:sz w:val="40"/>
          <w:szCs w:val="40"/>
        </w:rPr>
      </w:pPr>
    </w:p>
    <w:p>
      <w:pPr>
        <w:spacing w:before="312" w:beforeLines="100" w:after="312" w:afterLines="100" w:line="460" w:lineRule="exact"/>
        <w:rPr>
          <w:rFonts w:hint="eastAsia" w:ascii="黑体" w:hAnsi="宋体" w:eastAsia="黑体"/>
          <w:b/>
          <w:bCs/>
          <w:sz w:val="32"/>
          <w:szCs w:val="32"/>
        </w:rPr>
      </w:pPr>
    </w:p>
    <w:p>
      <w:pPr>
        <w:spacing w:before="312" w:beforeLines="100" w:after="312" w:afterLines="100" w:line="460" w:lineRule="exact"/>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48"/>
          <w:szCs w:val="48"/>
        </w:rPr>
      </w:pPr>
    </w:p>
    <w:p>
      <w:pPr>
        <w:spacing w:before="312" w:beforeLines="100" w:after="312" w:afterLines="100" w:line="460" w:lineRule="exact"/>
        <w:jc w:val="center"/>
        <w:rPr>
          <w:rFonts w:hint="eastAsia" w:ascii="黑体" w:hAnsi="宋体" w:eastAsia="黑体"/>
          <w:sz w:val="48"/>
          <w:szCs w:val="48"/>
        </w:rPr>
      </w:pPr>
      <w:r>
        <w:rPr>
          <w:rFonts w:hint="eastAsia" w:ascii="黑体" w:hAnsi="宋体" w:eastAsia="黑体"/>
          <w:sz w:val="48"/>
          <w:szCs w:val="48"/>
        </w:rPr>
        <w:t>第一部分</w:t>
      </w:r>
    </w:p>
    <w:p>
      <w:pPr>
        <w:spacing w:before="312" w:beforeLines="100" w:after="312" w:afterLines="100" w:line="460" w:lineRule="exact"/>
        <w:jc w:val="center"/>
        <w:rPr>
          <w:rFonts w:hint="eastAsia" w:ascii="黑体" w:hAnsi="宋体" w:eastAsia="黑体"/>
          <w:sz w:val="48"/>
          <w:szCs w:val="48"/>
        </w:rPr>
      </w:pPr>
      <w:r>
        <w:rPr>
          <w:rFonts w:hint="eastAsia" w:ascii="黑体" w:hAnsi="宋体" w:eastAsia="黑体"/>
          <w:sz w:val="48"/>
          <w:szCs w:val="48"/>
        </w:rPr>
        <w:t>乃东区人民检察院概况</w:t>
      </w:r>
    </w:p>
    <w:p>
      <w:pPr>
        <w:spacing w:before="312" w:beforeLines="100" w:after="312" w:afterLines="100" w:line="460" w:lineRule="exact"/>
        <w:jc w:val="center"/>
        <w:rPr>
          <w:rFonts w:hint="eastAsia" w:ascii="黑体" w:hAnsi="宋体" w:eastAsia="黑体"/>
          <w:sz w:val="48"/>
          <w:szCs w:val="48"/>
        </w:rPr>
      </w:pPr>
    </w:p>
    <w:p>
      <w:pPr>
        <w:spacing w:before="312" w:beforeLines="100" w:after="312" w:afterLines="100" w:line="460" w:lineRule="exact"/>
        <w:jc w:val="center"/>
        <w:rPr>
          <w:rFonts w:hint="eastAsia" w:ascii="宋体" w:hAnsi="宋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jc w:val="center"/>
        <w:rPr>
          <w:rFonts w:hint="eastAsia" w:ascii="黑体" w:hAnsi="宋体" w:eastAsia="黑体"/>
          <w:sz w:val="32"/>
          <w:szCs w:val="32"/>
        </w:rPr>
      </w:pPr>
    </w:p>
    <w:p>
      <w:pPr>
        <w:spacing w:before="312" w:beforeLines="100" w:after="312" w:afterLines="100" w:line="460" w:lineRule="exact"/>
        <w:rPr>
          <w:rFonts w:hint="eastAsia" w:ascii="宋体" w:hAnsi="宋体"/>
          <w:b/>
          <w:bCs/>
          <w:sz w:val="44"/>
          <w:szCs w:val="44"/>
        </w:rPr>
      </w:pPr>
      <w:r>
        <w:rPr>
          <w:rFonts w:hint="eastAsia" w:ascii="宋体" w:hAnsi="宋体"/>
          <w:b/>
          <w:bCs/>
          <w:sz w:val="44"/>
          <w:szCs w:val="44"/>
        </w:rPr>
        <w:t>一</w:t>
      </w:r>
      <w:r>
        <w:rPr>
          <w:rFonts w:hint="eastAsia" w:ascii="仿宋_GB2312" w:hAnsi="宋体" w:eastAsia="仿宋_GB2312"/>
          <w:b/>
          <w:bCs/>
          <w:sz w:val="44"/>
          <w:szCs w:val="44"/>
        </w:rPr>
        <w:t>、预算部门主要职责</w:t>
      </w:r>
    </w:p>
    <w:p>
      <w:p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人民检察院是国家法律监督机关，依法独立行使检察权，保证国家法律的统一和正确实施。正科级建制，其主要职责是：</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对县人民代表大会及其常务委员会负责并报告工作，接受其监督。</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依法对贪污贿赂罪、国家工作人员渎职罪和国家机关工作人员利用职权实施的非法拘禁、刑讯逼供、报复陷害等侵犯公民人身权利和民主权利的犯罪进行侦查，依法对需要直接接受受理的国家机关工作人员利用职权实施的其他重大犯罪案件进行侦查。负责组织开展职务犯罪预防工作。</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对危害国家以及严重破坏国家政策、法律、法规政令统一实施的重大犯罪案件，依法行使检察权。</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根据国家法律规定，检察机关对人民法院的审判活动、公安机关的侦察活动是否合法依法进行监督。</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按照法定管辖，对刑事犯罪案件依法审查批捕、提起公诉。开展刑事犯罪案件的审查批捕、起诉工作。</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开展刑事、民事、行政诉讼活动中的法律监督工作。</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对县人民法院已经发生法律效力、确有错误的判决和裁定，依法提起抗诉。</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受理公民的控告、申诉和举报。</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负责本院机关的思想政治工作和队伍建设。</w:t>
      </w:r>
    </w:p>
    <w:p>
      <w:pPr>
        <w:numPr>
          <w:ilvl w:val="0"/>
          <w:numId w:val="3"/>
        </w:numPr>
        <w:spacing w:before="312" w:beforeLines="100" w:after="312" w:afterLines="100" w:line="460" w:lineRule="exact"/>
        <w:ind w:firstLine="640"/>
        <w:rPr>
          <w:rFonts w:hint="eastAsia" w:ascii="宋体" w:hAnsi="宋体"/>
          <w:sz w:val="32"/>
          <w:szCs w:val="32"/>
        </w:rPr>
      </w:pPr>
      <w:r>
        <w:rPr>
          <w:rFonts w:hint="eastAsia" w:ascii="宋体" w:hAnsi="宋体"/>
          <w:sz w:val="32"/>
          <w:szCs w:val="32"/>
        </w:rPr>
        <w:t>负责提出本县检察工作改革的意见。</w:t>
      </w:r>
    </w:p>
    <w:p>
      <w:pPr>
        <w:spacing w:before="312" w:beforeLines="100" w:after="312" w:afterLines="100" w:line="460" w:lineRule="exact"/>
        <w:rPr>
          <w:rFonts w:hint="eastAsia" w:ascii="方正楷体简体" w:hAnsi="宋体" w:eastAsia="方正楷体简体"/>
          <w:b/>
          <w:bCs/>
          <w:sz w:val="44"/>
          <w:szCs w:val="44"/>
        </w:rPr>
      </w:pPr>
      <w:r>
        <w:rPr>
          <w:rFonts w:hint="eastAsia" w:ascii="方正楷体简体" w:hAnsi="宋体" w:eastAsia="方正楷体简体"/>
          <w:b/>
          <w:bCs/>
          <w:sz w:val="44"/>
          <w:szCs w:val="44"/>
        </w:rPr>
        <w:t>二、预算部门单位构成</w:t>
      </w:r>
    </w:p>
    <w:p>
      <w:pPr>
        <w:spacing w:before="312" w:beforeLines="100" w:after="312" w:afterLines="100" w:line="460" w:lineRule="exact"/>
        <w:rPr>
          <w:rFonts w:hint="eastAsia" w:ascii="宋体" w:hAnsi="宋体"/>
          <w:sz w:val="32"/>
          <w:szCs w:val="32"/>
        </w:rPr>
      </w:pPr>
      <w:r>
        <w:rPr>
          <w:rFonts w:hint="eastAsia" w:ascii="方正楷体简体" w:hAnsi="宋体" w:eastAsia="方正楷体简体"/>
          <w:sz w:val="32"/>
          <w:szCs w:val="32"/>
        </w:rPr>
        <w:t xml:space="preserve">   </w:t>
      </w:r>
      <w:r>
        <w:rPr>
          <w:rFonts w:hint="eastAsia" w:ascii="宋体" w:hAnsi="宋体"/>
          <w:sz w:val="32"/>
          <w:szCs w:val="32"/>
        </w:rPr>
        <w:t xml:space="preserve">  乃东区人民检察院设置内设副科级机构10个：办公室（法警大队）、侦查监督科、公诉科、控告申诉检察科、民事行政检察科、监所检察科、反贪污贿赂局，反渎职侵权局、职务犯罪预防科、计划财务装备科。</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乃东区人民检察院</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6"/>
        <w:gridCol w:w="1742"/>
        <w:gridCol w:w="1377"/>
        <w:gridCol w:w="694"/>
        <w:gridCol w:w="146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18"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377"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4"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41"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18"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912"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8,223,774.50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8,223,774.50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27"/>
        <w:gridCol w:w="1442"/>
        <w:gridCol w:w="1290"/>
        <w:gridCol w:w="1350"/>
        <w:gridCol w:w="1290"/>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9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检察</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2040401</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7,068,374.50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2040499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其他检察支出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1,155,400.00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Style w:val="12"/>
                <w:lang w:val="en-US" w:eastAsia="zh-CN" w:bidi="ar"/>
              </w:rPr>
              <w:t>备注：本表按照政府收支分类科目列示到</w:t>
            </w:r>
            <w:r>
              <w:rPr>
                <w:rStyle w:val="13"/>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4"/>
        <w:gridCol w:w="1411"/>
        <w:gridCol w:w="1480"/>
        <w:gridCol w:w="1300"/>
        <w:gridCol w:w="1479"/>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shd w:val="clear"/>
            <w:vAlign w:val="center"/>
          </w:tcPr>
          <w:p>
            <w:pPr>
              <w:jc w:val="both"/>
              <w:rPr>
                <w:rFonts w:hint="eastAsia" w:ascii="宋体" w:hAnsi="宋体" w:eastAsia="宋体" w:cs="宋体"/>
                <w:i w:val="0"/>
                <w:color w:val="000000"/>
                <w:sz w:val="21"/>
                <w:szCs w:val="21"/>
                <w:u w:val="none"/>
              </w:rPr>
            </w:pPr>
          </w:p>
        </w:tc>
        <w:tc>
          <w:tcPr>
            <w:tcW w:w="1411" w:type="dxa"/>
            <w:shd w:val="clear"/>
            <w:vAlign w:val="center"/>
          </w:tcPr>
          <w:p>
            <w:pPr>
              <w:rPr>
                <w:rFonts w:hint="eastAsia" w:ascii="宋体" w:hAnsi="宋体" w:eastAsia="宋体" w:cs="宋体"/>
                <w:i w:val="0"/>
                <w:color w:val="000000"/>
                <w:sz w:val="22"/>
                <w:szCs w:val="22"/>
                <w:u w:val="none"/>
              </w:rPr>
            </w:pPr>
          </w:p>
        </w:tc>
        <w:tc>
          <w:tcPr>
            <w:tcW w:w="1480" w:type="dxa"/>
            <w:shd w:val="clear"/>
            <w:vAlign w:val="center"/>
          </w:tcPr>
          <w:p>
            <w:pPr>
              <w:rPr>
                <w:rFonts w:hint="eastAsia" w:ascii="宋体" w:hAnsi="宋体" w:eastAsia="宋体" w:cs="宋体"/>
                <w:i w:val="0"/>
                <w:color w:val="000000"/>
                <w:sz w:val="22"/>
                <w:szCs w:val="22"/>
                <w:u w:val="none"/>
              </w:rPr>
            </w:pPr>
          </w:p>
        </w:tc>
        <w:tc>
          <w:tcPr>
            <w:tcW w:w="1300" w:type="dxa"/>
            <w:shd w:val="clear"/>
            <w:vAlign w:val="center"/>
          </w:tcPr>
          <w:p>
            <w:pPr>
              <w:rPr>
                <w:rFonts w:hint="eastAsia" w:ascii="宋体" w:hAnsi="宋体" w:eastAsia="宋体" w:cs="宋体"/>
                <w:i w:val="0"/>
                <w:color w:val="000000"/>
                <w:sz w:val="22"/>
                <w:szCs w:val="22"/>
                <w:u w:val="none"/>
              </w:rPr>
            </w:pPr>
          </w:p>
        </w:tc>
        <w:tc>
          <w:tcPr>
            <w:tcW w:w="2755"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5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127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7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4,789,858.00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4,789,858.00</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1,060,172.00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1,060,172.00</w:t>
            </w:r>
          </w:p>
        </w:tc>
        <w:tc>
          <w:tcPr>
            <w:tcW w:w="1479" w:type="dxa"/>
            <w:shd w:val="clear"/>
            <w:vAlign w:val="center"/>
          </w:tcPr>
          <w:p>
            <w:pPr>
              <w:rPr>
                <w:rFonts w:hint="eastAsia" w:ascii="宋体" w:hAns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3,564,686.00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3,564,686.00</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165,000.00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165,000.00</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1,915,529.01</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1,915,529.01</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324,581.40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324,581.40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121,027.60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121,027.60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56,560.00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56,560.00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75,000.00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31,356.00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31,356.00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130,500.00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1"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54,330.00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54,330.00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87,433.00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87,433.00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0"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130,520.00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130,520.00</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904,221.01</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904,221.01</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362,987.49</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362,987.49</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362,987.49</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362,987.49</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7,068,374.50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5,152,845.49 </w:t>
            </w:r>
          </w:p>
        </w:tc>
        <w:tc>
          <w:tcPr>
            <w:tcW w:w="1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1,915,529.01</w:t>
            </w:r>
          </w:p>
        </w:tc>
        <w:tc>
          <w:tcPr>
            <w:tcW w:w="12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130,520.00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130,520.00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130,520.00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130,520.00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130,520.00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130,520.00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69"/>
        <w:gridCol w:w="3027"/>
        <w:gridCol w:w="97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869"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27"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74"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46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69" w:type="dxa"/>
            <w:shd w:val="clear" w:color="auto" w:fill="auto"/>
            <w:vAlign w:val="center"/>
          </w:tcPr>
          <w:p>
            <w:pPr>
              <w:jc w:val="left"/>
              <w:rPr>
                <w:rFonts w:hint="eastAsia" w:ascii="宋体" w:hAnsi="宋体" w:eastAsia="宋体" w:cs="宋体"/>
                <w:i w:val="0"/>
                <w:color w:val="000000"/>
                <w:sz w:val="21"/>
                <w:szCs w:val="21"/>
                <w:u w:val="none"/>
              </w:rPr>
            </w:pPr>
          </w:p>
        </w:tc>
        <w:tc>
          <w:tcPr>
            <w:tcW w:w="3027" w:type="dxa"/>
            <w:shd w:val="clear" w:color="auto" w:fill="auto"/>
            <w:vAlign w:val="center"/>
          </w:tcPr>
          <w:p>
            <w:pPr>
              <w:rPr>
                <w:rFonts w:hint="eastAsia" w:ascii="宋体" w:hAnsi="宋体" w:eastAsia="宋体" w:cs="宋体"/>
                <w:i w:val="0"/>
                <w:color w:val="000000"/>
                <w:sz w:val="22"/>
                <w:szCs w:val="22"/>
                <w:u w:val="none"/>
              </w:rPr>
            </w:pPr>
          </w:p>
        </w:tc>
        <w:tc>
          <w:tcPr>
            <w:tcW w:w="974" w:type="dxa"/>
            <w:shd w:val="clear" w:color="auto" w:fill="auto"/>
            <w:vAlign w:val="center"/>
          </w:tcPr>
          <w:p>
            <w:pPr>
              <w:rPr>
                <w:rFonts w:hint="eastAsia" w:ascii="宋体" w:hAnsi="宋体" w:eastAsia="宋体" w:cs="宋体"/>
                <w:i w:val="0"/>
                <w:color w:val="000000"/>
                <w:sz w:val="22"/>
                <w:szCs w:val="22"/>
                <w:u w:val="none"/>
              </w:rPr>
            </w:pPr>
          </w:p>
        </w:tc>
        <w:tc>
          <w:tcPr>
            <w:tcW w:w="14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8,223,774.50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8,223,774.50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2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8,223,774.50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8,223,774.50 </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8,223,774.50 </w:t>
            </w:r>
          </w:p>
        </w:tc>
      </w:tr>
    </w:tbl>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60"/>
        <w:gridCol w:w="498"/>
        <w:gridCol w:w="1290"/>
        <w:gridCol w:w="369"/>
        <w:gridCol w:w="1462"/>
        <w:gridCol w:w="906"/>
        <w:gridCol w:w="369"/>
        <w:gridCol w:w="541"/>
        <w:gridCol w:w="455"/>
        <w:gridCol w:w="541"/>
        <w:gridCol w:w="369"/>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498"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369" w:type="dxa"/>
            <w:shd w:val="clear"/>
            <w:vAlign w:val="center"/>
          </w:tcPr>
          <w:p>
            <w:pPr>
              <w:rPr>
                <w:rFonts w:hint="eastAsia" w:ascii="宋体" w:hAnsi="宋体" w:eastAsia="宋体" w:cs="宋体"/>
                <w:i w:val="0"/>
                <w:color w:val="000000"/>
                <w:sz w:val="22"/>
                <w:szCs w:val="22"/>
                <w:u w:val="none"/>
              </w:rPr>
            </w:pPr>
          </w:p>
        </w:tc>
        <w:tc>
          <w:tcPr>
            <w:tcW w:w="1462" w:type="dxa"/>
            <w:shd w:val="clear"/>
            <w:vAlign w:val="center"/>
          </w:tcPr>
          <w:p>
            <w:pPr>
              <w:rPr>
                <w:rFonts w:hint="eastAsia" w:ascii="宋体" w:hAnsi="宋体" w:eastAsia="宋体" w:cs="宋体"/>
                <w:i w:val="0"/>
                <w:color w:val="000000"/>
                <w:sz w:val="22"/>
                <w:szCs w:val="22"/>
                <w:u w:val="none"/>
              </w:rPr>
            </w:pPr>
          </w:p>
        </w:tc>
        <w:tc>
          <w:tcPr>
            <w:tcW w:w="906" w:type="dxa"/>
            <w:shd w:val="clear"/>
            <w:vAlign w:val="center"/>
          </w:tcPr>
          <w:p>
            <w:pPr>
              <w:rPr>
                <w:rFonts w:hint="eastAsia" w:ascii="宋体" w:hAnsi="宋体" w:eastAsia="宋体" w:cs="宋体"/>
                <w:i w:val="0"/>
                <w:color w:val="000000"/>
                <w:sz w:val="22"/>
                <w:szCs w:val="22"/>
                <w:u w:val="none"/>
              </w:rPr>
            </w:pPr>
          </w:p>
        </w:tc>
        <w:tc>
          <w:tcPr>
            <w:tcW w:w="369" w:type="dxa"/>
            <w:shd w:val="clear"/>
            <w:vAlign w:val="center"/>
          </w:tcPr>
          <w:p>
            <w:pPr>
              <w:rPr>
                <w:rFonts w:hint="eastAsia" w:ascii="宋体" w:hAnsi="宋体" w:eastAsia="宋体" w:cs="宋体"/>
                <w:i w:val="0"/>
                <w:color w:val="000000"/>
                <w:sz w:val="22"/>
                <w:szCs w:val="22"/>
                <w:u w:val="none"/>
              </w:rPr>
            </w:pPr>
          </w:p>
        </w:tc>
        <w:tc>
          <w:tcPr>
            <w:tcW w:w="541" w:type="dxa"/>
            <w:shd w:val="clear"/>
            <w:vAlign w:val="center"/>
          </w:tcPr>
          <w:p>
            <w:pPr>
              <w:rPr>
                <w:rFonts w:hint="eastAsia" w:ascii="宋体" w:hAnsi="宋体" w:eastAsia="宋体" w:cs="宋体"/>
                <w:i w:val="0"/>
                <w:color w:val="000000"/>
                <w:sz w:val="22"/>
                <w:szCs w:val="22"/>
                <w:u w:val="none"/>
              </w:rPr>
            </w:pPr>
          </w:p>
        </w:tc>
        <w:tc>
          <w:tcPr>
            <w:tcW w:w="455" w:type="dxa"/>
            <w:shd w:val="clear"/>
            <w:vAlign w:val="center"/>
          </w:tcPr>
          <w:p>
            <w:pPr>
              <w:rPr>
                <w:rFonts w:hint="eastAsia" w:ascii="宋体" w:hAnsi="宋体" w:eastAsia="宋体" w:cs="宋体"/>
                <w:i w:val="0"/>
                <w:color w:val="000000"/>
                <w:sz w:val="22"/>
                <w:szCs w:val="22"/>
                <w:u w:val="none"/>
              </w:rPr>
            </w:pPr>
          </w:p>
        </w:tc>
        <w:tc>
          <w:tcPr>
            <w:tcW w:w="541" w:type="dxa"/>
            <w:shd w:val="clear"/>
            <w:vAlign w:val="center"/>
          </w:tcPr>
          <w:p>
            <w:pPr>
              <w:rPr>
                <w:rFonts w:hint="eastAsia" w:ascii="宋体" w:hAnsi="宋体" w:eastAsia="宋体" w:cs="宋体"/>
                <w:i w:val="0"/>
                <w:color w:val="000000"/>
                <w:sz w:val="22"/>
                <w:szCs w:val="22"/>
                <w:u w:val="none"/>
              </w:rPr>
            </w:pPr>
          </w:p>
        </w:tc>
        <w:tc>
          <w:tcPr>
            <w:tcW w:w="1039"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3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检察</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2040401</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7,068,374.50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7,068,374.50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2040499</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其他检察支出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4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c>
          <w:tcPr>
            <w:tcW w:w="9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91"/>
        <w:gridCol w:w="1019"/>
        <w:gridCol w:w="1290"/>
        <w:gridCol w:w="1350"/>
        <w:gridCol w:w="1290"/>
        <w:gridCol w:w="526"/>
        <w:gridCol w:w="946"/>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330" w:type="dxa"/>
            <w:gridSpan w:val="8"/>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91" w:type="dxa"/>
            <w:shd w:val="clear"/>
            <w:vAlign w:val="center"/>
          </w:tcPr>
          <w:p>
            <w:pPr>
              <w:jc w:val="left"/>
              <w:rPr>
                <w:rFonts w:hint="eastAsia" w:ascii="宋体" w:hAnsi="宋体" w:eastAsia="宋体" w:cs="宋体"/>
                <w:i w:val="0"/>
                <w:color w:val="000000"/>
                <w:sz w:val="21"/>
                <w:szCs w:val="21"/>
                <w:u w:val="none"/>
              </w:rPr>
            </w:pPr>
          </w:p>
        </w:tc>
        <w:tc>
          <w:tcPr>
            <w:tcW w:w="1019"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526" w:type="dxa"/>
            <w:shd w:val="clear"/>
            <w:vAlign w:val="center"/>
          </w:tcPr>
          <w:p>
            <w:pPr>
              <w:rPr>
                <w:rFonts w:hint="eastAsia" w:ascii="宋体" w:hAnsi="宋体" w:eastAsia="宋体" w:cs="宋体"/>
                <w:i w:val="0"/>
                <w:color w:val="000000"/>
                <w:sz w:val="22"/>
                <w:szCs w:val="22"/>
                <w:u w:val="none"/>
              </w:rPr>
            </w:pPr>
          </w:p>
        </w:tc>
        <w:tc>
          <w:tcPr>
            <w:tcW w:w="1964"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检察</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7,933,774.50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2040401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7,068,374.50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2040499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其他检察支出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865,400.00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290,000.00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8,223,774.50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7,068,374.50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1,155,400.00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乃东区人民检察院</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元，上年一般公共预算财政拨款支出7123515元，比上年同期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1100259.5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7933774.5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检察</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7933774.5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7068374.5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4789858</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1915529.01</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362987.49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其他检察</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8654000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2、其他支出290000元。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（1）其他支出290000元。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7068374.5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4789858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67.76</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1915529.01</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27.1</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362987.49</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5.14</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130520</w:t>
      </w:r>
      <w:r>
        <w:rPr>
          <w:rFonts w:hint="eastAsia" w:ascii="仿宋_GB2312" w:hAnsi="仿宋_GB2312" w:eastAsia="仿宋_GB2312" w:cs="仿宋_GB2312"/>
          <w:color w:val="000000" w:themeColor="text1"/>
          <w:sz w:val="32"/>
          <w:szCs w:val="26"/>
          <w14:textFill>
            <w14:solidFill>
              <w14:schemeClr w14:val="tx1"/>
            </w14:solidFill>
          </w14:textFill>
        </w:rPr>
        <w:t>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三公经费决算支出38853.41万，同比减少91666.59元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14388</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，比上年减少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14388元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130520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130520</w:t>
      </w:r>
      <w:r>
        <w:rPr>
          <w:rFonts w:hint="eastAsia" w:ascii="仿宋_GB2312" w:hAnsi="仿宋_GB2312" w:eastAsia="仿宋_GB2312" w:cs="仿宋_GB2312"/>
          <w:color w:val="000000" w:themeColor="text1"/>
          <w:sz w:val="32"/>
          <w:szCs w:val="26"/>
          <w14:textFill>
            <w14:solidFill>
              <w14:schemeClr w14:val="tx1"/>
            </w14:solidFill>
          </w14:textFill>
        </w:rPr>
        <w:t>元，上年支出24465.41元，比上年增加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106054.59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公共安全支出8223774.5</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8223774.5</w:t>
      </w:r>
      <w:r>
        <w:rPr>
          <w:rFonts w:hint="eastAsia" w:ascii="仿宋_GB2312" w:hAnsi="仿宋_GB2312" w:eastAsia="仿宋_GB2312" w:cs="仿宋_GB2312"/>
          <w:color w:val="000000" w:themeColor="text1"/>
          <w:sz w:val="32"/>
          <w:szCs w:val="26"/>
          <w14:textFill>
            <w14:solidFill>
              <w14:schemeClr w14:val="tx1"/>
            </w14:solidFill>
          </w14:textFill>
        </w:rPr>
        <w:t>元, 其中其中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公共安全支出8223774.5</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r>
        <w:rPr>
          <w:rFonts w:hint="eastAsia" w:ascii="微软雅黑" w:hAnsi="微软雅黑" w:eastAsia="仿宋"/>
          <w:color w:val="444444"/>
          <w:sz w:val="28"/>
          <w:szCs w:val="28"/>
        </w:rPr>
        <w:t>　</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bookmarkStart w:id="0" w:name="_GoBack"/>
      <w:bookmarkEnd w:id="0"/>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59EAA"/>
    <w:multiLevelType w:val="singleLevel"/>
    <w:tmpl w:val="D0B59EAA"/>
    <w:lvl w:ilvl="0" w:tentative="0">
      <w:start w:val="1"/>
      <w:numFmt w:val="decimal"/>
      <w:suff w:val="nothing"/>
      <w:lvlText w:val="%1、"/>
      <w:lvlJc w:val="left"/>
    </w:lvl>
  </w:abstractNum>
  <w:abstractNum w:abstractNumId="1">
    <w:nsid w:val="FB3262CB"/>
    <w:multiLevelType w:val="singleLevel"/>
    <w:tmpl w:val="FB3262CB"/>
    <w:lvl w:ilvl="0" w:tentative="0">
      <w:start w:val="2"/>
      <w:numFmt w:val="chineseCounting"/>
      <w:suff w:val="nothing"/>
      <w:lvlText w:val="%1、"/>
      <w:lvlJc w:val="left"/>
      <w:rPr>
        <w:rFonts w:hint="eastAsia"/>
      </w:rPr>
    </w:lvl>
  </w:abstractNum>
  <w:abstractNum w:abstractNumId="2">
    <w:nsid w:val="7B205AC9"/>
    <w:multiLevelType w:val="multilevel"/>
    <w:tmpl w:val="7B205AC9"/>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3F3070C"/>
    <w:rsid w:val="05916A36"/>
    <w:rsid w:val="13F106A8"/>
    <w:rsid w:val="1D9E79D6"/>
    <w:rsid w:val="267A4618"/>
    <w:rsid w:val="26E57E8B"/>
    <w:rsid w:val="28D878CD"/>
    <w:rsid w:val="396D5533"/>
    <w:rsid w:val="3EDC4B6D"/>
    <w:rsid w:val="3EE36A25"/>
    <w:rsid w:val="43603CEB"/>
    <w:rsid w:val="44890A8C"/>
    <w:rsid w:val="45222F42"/>
    <w:rsid w:val="461360DA"/>
    <w:rsid w:val="48B676D7"/>
    <w:rsid w:val="4B020017"/>
    <w:rsid w:val="609D6910"/>
    <w:rsid w:val="66516B3F"/>
    <w:rsid w:val="699A1B94"/>
    <w:rsid w:val="6C92316B"/>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uiPriority w:val="0"/>
    <w:rPr>
      <w:rFonts w:hint="eastAsia" w:ascii="宋体" w:hAnsi="宋体" w:eastAsia="宋体" w:cs="宋体"/>
      <w:color w:val="000000"/>
      <w:sz w:val="24"/>
      <w:szCs w:val="24"/>
      <w:u w:val="none"/>
    </w:rPr>
  </w:style>
  <w:style w:type="character" w:customStyle="1" w:styleId="11">
    <w:name w:val="font61"/>
    <w:basedOn w:val="5"/>
    <w:uiPriority w:val="0"/>
    <w:rPr>
      <w:rFonts w:hint="eastAsia" w:ascii="宋体" w:hAnsi="宋体" w:eastAsia="宋体" w:cs="宋体"/>
      <w:color w:val="000000"/>
      <w:sz w:val="24"/>
      <w:szCs w:val="24"/>
      <w:u w:val="none"/>
    </w:rPr>
  </w:style>
  <w:style w:type="character" w:customStyle="1" w:styleId="12">
    <w:name w:val="font51"/>
    <w:basedOn w:val="5"/>
    <w:uiPriority w:val="0"/>
    <w:rPr>
      <w:rFonts w:hint="eastAsia" w:ascii="宋体" w:hAnsi="宋体" w:eastAsia="宋体" w:cs="宋体"/>
      <w:color w:val="000000"/>
      <w:sz w:val="24"/>
      <w:szCs w:val="24"/>
      <w:u w:val="none"/>
    </w:rPr>
  </w:style>
  <w:style w:type="character" w:customStyle="1" w:styleId="13">
    <w:name w:val="font41"/>
    <w:basedOn w:val="5"/>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0</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2018-12-28T04:23:29Z</cp:lastPrinted>
  <dcterms:modified xsi:type="dcterms:W3CDTF">2018-12-28T04:40:38Z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