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p>
    <w:p>
      <w:pPr>
        <w:jc w:val="center"/>
        <w:rPr>
          <w:sz w:val="84"/>
          <w:szCs w:val="84"/>
        </w:rPr>
      </w:pPr>
    </w:p>
    <w:p>
      <w:pPr>
        <w:jc w:val="center"/>
        <w:rPr>
          <w:sz w:val="84"/>
          <w:szCs w:val="84"/>
        </w:rPr>
      </w:pP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乃东区民政局</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2016年部门决算</w:t>
      </w: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rPr>
          <w:rFonts w:ascii="仿宋_GB2312" w:hAnsi="仿宋_GB2312" w:eastAsia="仿宋_GB2312" w:cs="仿宋_GB2312"/>
          <w:sz w:val="32"/>
          <w:szCs w:val="32"/>
        </w:rPr>
      </w:pP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乃东区民政局概况</w:t>
      </w:r>
    </w:p>
    <w:p>
      <w:pPr>
        <w:numPr>
          <w:ilvl w:val="0"/>
          <w:numId w:val="2"/>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二、内设机构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第二部分乃东区民政局2016年部门决算表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部门收入总表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部门支出总表</w:t>
      </w:r>
    </w:p>
    <w:p>
      <w:pPr>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第三部分乃东区民政局2016年部门决算数据分析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名称解释</w:t>
      </w:r>
    </w:p>
    <w:p>
      <w:pPr>
        <w:jc w:val="center"/>
        <w:rPr>
          <w:sz w:val="84"/>
          <w:szCs w:val="84"/>
        </w:rPr>
      </w:pPr>
    </w:p>
    <w:p>
      <w:pPr>
        <w:jc w:val="center"/>
        <w:rPr>
          <w:sz w:val="84"/>
          <w:szCs w:val="84"/>
        </w:rPr>
      </w:pPr>
    </w:p>
    <w:p>
      <w:pPr>
        <w:jc w:val="center"/>
        <w:rPr>
          <w:sz w:val="84"/>
          <w:szCs w:val="84"/>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第一部分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乃东区民政局概况</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spacing w:line="576" w:lineRule="exact"/>
        <w:jc w:val="center"/>
        <w:rPr>
          <w:rFonts w:ascii="方正小标宋简体" w:hAnsi="华文中宋" w:eastAsia="方正小标宋简体"/>
          <w:bCs/>
          <w:sz w:val="44"/>
        </w:rPr>
      </w:pPr>
      <w:r>
        <w:rPr>
          <w:rFonts w:hint="eastAsia" w:ascii="方正小标宋简体" w:hAnsi="华文中宋" w:eastAsia="方正小标宋简体"/>
          <w:bCs/>
          <w:sz w:val="44"/>
        </w:rPr>
        <w:t>乃东区民政局概况</w:t>
      </w:r>
    </w:p>
    <w:p>
      <w:pPr>
        <w:spacing w:line="576" w:lineRule="exact"/>
        <w:ind w:firstLine="640"/>
        <w:rPr>
          <w:rFonts w:eastAsia="黑体"/>
          <w:sz w:val="32"/>
        </w:rPr>
      </w:pPr>
    </w:p>
    <w:p>
      <w:pPr>
        <w:spacing w:line="576" w:lineRule="exact"/>
        <w:ind w:firstLine="640"/>
        <w:rPr>
          <w:rFonts w:eastAsia="黑体"/>
          <w:sz w:val="32"/>
        </w:rPr>
      </w:pPr>
      <w:r>
        <w:rPr>
          <w:rFonts w:hint="eastAsia" w:eastAsia="黑体"/>
          <w:sz w:val="32"/>
        </w:rPr>
        <w:t>一</w:t>
      </w:r>
      <w:r>
        <w:rPr>
          <w:rFonts w:eastAsia="黑体"/>
          <w:sz w:val="32"/>
        </w:rPr>
        <w:t>、主要职责</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（一）贯彻执行国家、自治区民政工作的方针政策和法律法规,拟订全县民政事业发展的中长期规划和年度计划,并组织实施和监督检査。</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（二）承担依法对社会团体、民办非企业单位进行登记管理和执法监察的责任。</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三）主管全县各类优抚对象的优待、抚恤和烈士褒扬工作,监督各类优抚对象的优待、抚恤补助标准;贯彻执行退役士兵、复员干部、军队离退休干部和军队无军籍退休退职职工安置政策;负责国家民政部门规定人员的评残换证工作;协助部队做好征兵工作;组织和指导拥军优属工作,承担县拥军优属拥政爱民工作领导小组办公室的日常工作。</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（四）负责组织、协调全县救灾工作,组织自然灾害救助应急体系建设,负责组织核查并统一发布灾情；负责管理、分配救灾款物并监督使用;组织、指导救灾捐赠;指导灾民恢复重建;承担县减灾委员会具体工作。</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五）贯彻执行自治区、地区城乡社会救助规划、政策和标准；组织和指导扶贫济困等社会互助活动,指导社会救济工作；落实健全城乡社会救助体系,负责城乡居民最低生活保障、医疗救助、临时救助、五保供养、生活无着入员救助工作。</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六）负责全县行政区划、地名管理的调整事宜;承办行政区域的设立、撤销、调整、更名和界线变更及政府驻地迁移审查报批工作,承办村（居）委会以上行政区划名称和重要自然地理实体的地名命名、更名的审查报批工作;组织、指导全县乡、村行政区域界线的勘定和管理工作;负责全县地名标志的设置与管理以及标准地名图书资料的编纂、审核、报批工作。</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（七）提出加强和改进基层群众自治建设和社区服务体系建设的意见和建议,指导社区服务体系建设;提出加强和改进城乡基层政权建设的建议,推进城乡基层民主政治建设。</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八）贯彻执行社会福利事业发展规划、政策、标准及社会福利机构和福利彩票发行管理办法;承担组织社会慈善公益捐助工作,促进慈善事业的发展;指导老年人、孤儿和残疾人等特殊群体权益保障工作;提出扶持、保护社会福利企事业位的建议;指导全县社会福利机构的管理工作;负责管理本级福利彩票公益金。</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（九）贯彻执行婚姻登记管理、殡葬管理和儿童收养政策，负责推进婚俗和殡葬改革,指导婚姻、殡葬、收养、救助服务机构管理工作。</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（十）贯彻执行自治区、地区社会工作发展规划政策和职业规范,提出全县社会工作发展的意见和建议,推进社会工作人才队伍建设和相关志愿者队伍建设。</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（十一）协调监督有关部门实施老龄事业和关心下一代工作发展规划及政策。</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（十二）承办县政府交办的其他事项。</w:t>
      </w:r>
    </w:p>
    <w:p>
      <w:pPr>
        <w:spacing w:line="576" w:lineRule="exact"/>
        <w:ind w:firstLine="640"/>
        <w:rPr>
          <w:rFonts w:eastAsia="黑体"/>
          <w:sz w:val="32"/>
        </w:rPr>
      </w:pPr>
      <w:r>
        <w:rPr>
          <w:rFonts w:hint="eastAsia" w:eastAsia="黑体"/>
          <w:sz w:val="32"/>
        </w:rPr>
        <w:t>二、内设机构</w:t>
      </w:r>
    </w:p>
    <w:p>
      <w:pPr>
        <w:spacing w:line="576" w:lineRule="exact"/>
        <w:ind w:firstLine="640"/>
        <w:rPr>
          <w:rFonts w:ascii="仿宋_GB2312" w:hAnsi="仿宋_GB2312" w:eastAsia="仿宋_GB2312" w:cs="仿宋_GB2312"/>
          <w:sz w:val="32"/>
        </w:rPr>
      </w:pPr>
      <w:r>
        <w:rPr>
          <w:rFonts w:hint="eastAsia" w:ascii="仿宋_GB2312" w:hAnsi="仿宋_GB2312" w:eastAsia="仿宋_GB2312" w:cs="仿宋_GB2312"/>
          <w:sz w:val="32"/>
        </w:rPr>
        <w:t>乃东区民政局不设内设机构。</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乃东区民政局</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76"/>
        <w:gridCol w:w="1742"/>
        <w:gridCol w:w="1377"/>
        <w:gridCol w:w="694"/>
        <w:gridCol w:w="1460"/>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418" w:type="dxa"/>
            <w:gridSpan w:val="2"/>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377"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4"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41" w:type="dxa"/>
            <w:gridSpan w:val="2"/>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18"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4912" w:type="dxa"/>
            <w:gridSpan w:val="4"/>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46,752,323.25</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43,865,303.25</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718,595.42</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848,815.42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47,470,918.67</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47,470,918.67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
    <w:p/>
    <w:p/>
    <w:p/>
    <w:p/>
    <w:p/>
    <w:p/>
    <w:tbl>
      <w:tblPr>
        <w:tblStyle w:val="6"/>
        <w:tblW w:w="982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63"/>
        <w:gridCol w:w="2111"/>
        <w:gridCol w:w="1725"/>
        <w:gridCol w:w="1525"/>
        <w:gridCol w:w="1575"/>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9826"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bookmarkStart w:id="0" w:name="_GoBack"/>
            <w:bookmarkEnd w:id="0"/>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826" w:type="dxa"/>
            <w:gridSpan w:val="6"/>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5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4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社会保障和就业支出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43,865,303.25</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8,528,826.00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35,336,477.25</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民政管理事务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8,068,326.00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1,974,826.00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6,093,500.00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2080201</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1,974,826.00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1,974,826.00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2080204</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拥军优属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2080205</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老龄事务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912,700.00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912,700.00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2080207</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行政区划和地名管理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2080208</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基层政权和社区建设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4,089,800.00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4,089,800.00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2080299</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其他民政管理事务支出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226,000.00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20808</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1,100,000.00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2080803</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在乡复员、退伍军人生活补助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950,000.00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2080899</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其他优抚支出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退役安置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6,554,000.00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6,554,000.00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2080901</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退役士兵安置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1,764,000.00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1,764,000.00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2080902</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军队移交政府的离退休人员安置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4,750,000.00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4,750,000.00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2080903</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军队移交政府离退休干部管理机构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20810</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社会福利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1,530,600.00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1,530,600.00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2081002</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老年福利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1,017,600.00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1,017,600.00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2081099</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其他社会福利支出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513,000.00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513,000.00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20811</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残疾人事业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4,843,420.00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4,843,420.00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2081101</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48,700.00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48,700.00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2081199</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其他残疾人事业支出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4,794,720.00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4,794,720.00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20815</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自然灾害生活救助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2081501</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中央自然灾害生活补助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20819</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最低生活保障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13,464,400.00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13,464,400.00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2081901</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城市最低生活保障金支出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8,704,200.00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8,704,200.00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2081902</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农村最低生活保障金支出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4,760,200.00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4,760,200.00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20820</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临时救助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1,813,900.00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1,813,900.00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2082001</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临时救助支出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1,655,000.00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1,655,000.00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2082002</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流浪乞讨人员救助支出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158,900.00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158,900.00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20821</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特困人员供养</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3,169,500.00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3,169,500.00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2082102</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农村五保供养支出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3,169,500.00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3,169,500.00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其他社会保障和就业支出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2089901</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其他社会保障和就业支出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医疗保障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2100504</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优抚对象医疗补助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2100509</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城乡医疗救助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2,366,800.00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2,366,800.00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848,815.42</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848,815.42</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22960</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彩票公益金及对应专项债务收入安排的支出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2296099</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用于其他社会公益事业的彩票公益金支出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5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47,470,918.67</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8,528,826.00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38,942,092.67</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826" w:type="dxa"/>
            <w:gridSpan w:val="6"/>
            <w:tcBorders>
              <w:top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Style w:val="12"/>
                <w:lang w:val="en-US" w:eastAsia="zh-CN" w:bidi="ar"/>
              </w:rPr>
              <w:t>项级</w:t>
            </w:r>
            <w:r>
              <w:rPr>
                <w:rStyle w:val="13"/>
                <w:lang w:val="en-US" w:eastAsia="zh-CN" w:bidi="ar"/>
              </w:rPr>
              <w:t>科目</w:t>
            </w:r>
          </w:p>
        </w:tc>
      </w:tr>
    </w:tbl>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72"/>
        <w:gridCol w:w="1400"/>
        <w:gridCol w:w="1482"/>
        <w:gridCol w:w="1350"/>
        <w:gridCol w:w="1464"/>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shd w:val="clear" w:color="auto" w:fill="auto"/>
            <w:vAlign w:val="center"/>
          </w:tcPr>
          <w:p>
            <w:pPr>
              <w:jc w:val="both"/>
              <w:rPr>
                <w:rFonts w:hint="eastAsia" w:ascii="宋体" w:hAnsi="宋体" w:eastAsia="宋体" w:cs="宋体"/>
                <w:i w:val="0"/>
                <w:color w:val="000000"/>
                <w:sz w:val="21"/>
                <w:szCs w:val="21"/>
                <w:u w:val="none"/>
              </w:rPr>
            </w:pPr>
          </w:p>
        </w:tc>
        <w:tc>
          <w:tcPr>
            <w:tcW w:w="1400" w:type="dxa"/>
            <w:shd w:val="clear" w:color="auto" w:fill="auto"/>
            <w:vAlign w:val="center"/>
          </w:tcPr>
          <w:p>
            <w:pPr>
              <w:rPr>
                <w:rFonts w:hint="eastAsia" w:ascii="宋体" w:hAnsi="宋体" w:eastAsia="宋体" w:cs="宋体"/>
                <w:i w:val="0"/>
                <w:color w:val="000000"/>
                <w:sz w:val="22"/>
                <w:szCs w:val="22"/>
                <w:u w:val="none"/>
              </w:rPr>
            </w:pPr>
          </w:p>
        </w:tc>
        <w:tc>
          <w:tcPr>
            <w:tcW w:w="1482" w:type="dxa"/>
            <w:shd w:val="clear" w:color="auto" w:fill="auto"/>
            <w:vAlign w:val="center"/>
          </w:tcPr>
          <w:p>
            <w:pPr>
              <w:rPr>
                <w:rFonts w:hint="eastAsia" w:ascii="宋体" w:hAnsi="宋体" w:eastAsia="宋体" w:cs="宋体"/>
                <w:i w:val="0"/>
                <w:color w:val="000000"/>
                <w:sz w:val="22"/>
                <w:szCs w:val="22"/>
                <w:u w:val="none"/>
              </w:rPr>
            </w:pPr>
          </w:p>
        </w:tc>
        <w:tc>
          <w:tcPr>
            <w:tcW w:w="1350" w:type="dxa"/>
            <w:shd w:val="clear" w:color="auto" w:fill="auto"/>
            <w:vAlign w:val="center"/>
          </w:tcPr>
          <w:p>
            <w:pPr>
              <w:rPr>
                <w:rFonts w:hint="eastAsia" w:ascii="宋体" w:hAnsi="宋体" w:eastAsia="宋体" w:cs="宋体"/>
                <w:i w:val="0"/>
                <w:color w:val="000000"/>
                <w:sz w:val="22"/>
                <w:szCs w:val="22"/>
                <w:u w:val="none"/>
              </w:rPr>
            </w:pPr>
          </w:p>
        </w:tc>
        <w:tc>
          <w:tcPr>
            <w:tcW w:w="2726"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2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2016年基本支出</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1,635,493.50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1,635,493.50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404,065.00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404,065.00</w:t>
            </w:r>
          </w:p>
        </w:tc>
        <w:tc>
          <w:tcPr>
            <w:tcW w:w="1464" w:type="dxa"/>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1,231,428.50</w:t>
            </w:r>
          </w:p>
        </w:tc>
        <w:tc>
          <w:tcPr>
            <w:tcW w:w="13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1,231,428.50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193,415.00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193,415.00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12,060.00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40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31,355.00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31,355.00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6,699,917.50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6,699,917.50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6,554,000.00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6,554,000.00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145,600.00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145,600.00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317.5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317.5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8,528,826.00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8,335,411.00 </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193,415.00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150,000.00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150,000.00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150,000.00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150,000.00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718,595.42</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718,595.42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彩票公益金及对应专项债务收入安排的支出</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718,595.42</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718,595.42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2296099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用于其他社会公益事业的彩票公益金支出</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718,595.42</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718,595.42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04"/>
        <w:gridCol w:w="3050"/>
        <w:gridCol w:w="981"/>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2904"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tc>
        <w:tc>
          <w:tcPr>
            <w:tcW w:w="3050" w:type="dxa"/>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981"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395"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904" w:type="dxa"/>
            <w:shd w:val="clear" w:color="auto" w:fill="auto"/>
            <w:vAlign w:val="center"/>
          </w:tcPr>
          <w:p>
            <w:pPr>
              <w:jc w:val="left"/>
              <w:rPr>
                <w:rFonts w:hint="eastAsia" w:ascii="宋体" w:hAnsi="宋体" w:eastAsia="宋体" w:cs="宋体"/>
                <w:i w:val="0"/>
                <w:color w:val="000000"/>
                <w:sz w:val="21"/>
                <w:szCs w:val="21"/>
                <w:u w:val="none"/>
              </w:rPr>
            </w:pPr>
          </w:p>
        </w:tc>
        <w:tc>
          <w:tcPr>
            <w:tcW w:w="3050" w:type="dxa"/>
            <w:shd w:val="clear" w:color="auto" w:fill="auto"/>
            <w:vAlign w:val="center"/>
          </w:tcPr>
          <w:p>
            <w:pPr>
              <w:rPr>
                <w:rFonts w:hint="eastAsia" w:ascii="宋体" w:hAnsi="宋体" w:eastAsia="宋体" w:cs="宋体"/>
                <w:i w:val="0"/>
                <w:color w:val="000000"/>
                <w:sz w:val="22"/>
                <w:szCs w:val="22"/>
                <w:u w:val="none"/>
              </w:rPr>
            </w:pPr>
          </w:p>
        </w:tc>
        <w:tc>
          <w:tcPr>
            <w:tcW w:w="981" w:type="dxa"/>
            <w:shd w:val="clear" w:color="auto" w:fill="auto"/>
            <w:vAlign w:val="center"/>
          </w:tcPr>
          <w:p>
            <w:pPr>
              <w:rPr>
                <w:rFonts w:hint="eastAsia" w:ascii="宋体" w:hAnsi="宋体" w:eastAsia="宋体" w:cs="宋体"/>
                <w:i w:val="0"/>
                <w:color w:val="000000"/>
                <w:sz w:val="22"/>
                <w:szCs w:val="22"/>
                <w:u w:val="none"/>
              </w:rPr>
            </w:pPr>
          </w:p>
        </w:tc>
        <w:tc>
          <w:tcPr>
            <w:tcW w:w="13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46,752,323.25</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43865303.25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718,595.42</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848,815.42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1"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47,470,918.67</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47,470,918.67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47,470,918.67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47,470,918.67 </w:t>
            </w:r>
          </w:p>
        </w:tc>
      </w:tr>
    </w:tbl>
    <w:p/>
    <w:p/>
    <w:tbl>
      <w:tblPr>
        <w:tblStyle w:val="6"/>
        <w:tblW w:w="977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5"/>
        <w:gridCol w:w="1780"/>
        <w:gridCol w:w="1481"/>
        <w:gridCol w:w="375"/>
        <w:gridCol w:w="1519"/>
        <w:gridCol w:w="581"/>
        <w:gridCol w:w="394"/>
        <w:gridCol w:w="506"/>
        <w:gridCol w:w="506"/>
        <w:gridCol w:w="469"/>
        <w:gridCol w:w="750"/>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7" w:hRule="atLeast"/>
          <w:jc w:val="center"/>
        </w:trPr>
        <w:tc>
          <w:tcPr>
            <w:tcW w:w="9777" w:type="dxa"/>
            <w:gridSpan w:val="12"/>
            <w:shd w:val="clear" w:color="auto" w:fill="auto"/>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sz w:val="36"/>
                <w:szCs w:val="36"/>
                <w:u w:val="none"/>
              </w:rPr>
            </w:pPr>
            <w:r>
              <w:rPr>
                <w:rFonts w:hint="eastAsia" w:ascii="仿宋" w:hAnsi="仿宋" w:eastAsia="仿宋" w:cs="仿宋"/>
                <w:i w:val="0"/>
                <w:color w:val="000000"/>
                <w:kern w:val="0"/>
                <w:sz w:val="32"/>
                <w:szCs w:val="32"/>
                <w:u w:val="none"/>
                <w:lang w:val="en-US" w:eastAsia="zh-CN" w:bidi="ar"/>
              </w:rPr>
              <w:t xml:space="preserve">表7                  </w:t>
            </w: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1780" w:type="dxa"/>
            <w:shd w:val="clear" w:color="auto" w:fill="auto"/>
            <w:vAlign w:val="center"/>
          </w:tcPr>
          <w:p>
            <w:pPr>
              <w:rPr>
                <w:rFonts w:hint="eastAsia" w:ascii="宋体" w:hAnsi="宋体" w:eastAsia="宋体" w:cs="宋体"/>
                <w:i w:val="0"/>
                <w:color w:val="000000"/>
                <w:sz w:val="22"/>
                <w:szCs w:val="22"/>
                <w:u w:val="none"/>
              </w:rPr>
            </w:pPr>
          </w:p>
        </w:tc>
        <w:tc>
          <w:tcPr>
            <w:tcW w:w="1481" w:type="dxa"/>
            <w:shd w:val="clear" w:color="auto" w:fill="auto"/>
            <w:vAlign w:val="center"/>
          </w:tcPr>
          <w:p>
            <w:pPr>
              <w:rPr>
                <w:rFonts w:hint="eastAsia" w:ascii="宋体" w:hAnsi="宋体" w:eastAsia="宋体" w:cs="宋体"/>
                <w:i w:val="0"/>
                <w:color w:val="000000"/>
                <w:sz w:val="22"/>
                <w:szCs w:val="22"/>
                <w:u w:val="none"/>
              </w:rPr>
            </w:pPr>
          </w:p>
        </w:tc>
        <w:tc>
          <w:tcPr>
            <w:tcW w:w="375" w:type="dxa"/>
            <w:shd w:val="clear" w:color="auto" w:fill="auto"/>
            <w:vAlign w:val="center"/>
          </w:tcPr>
          <w:p>
            <w:pPr>
              <w:rPr>
                <w:rFonts w:hint="eastAsia" w:ascii="宋体" w:hAnsi="宋体" w:eastAsia="宋体" w:cs="宋体"/>
                <w:i w:val="0"/>
                <w:color w:val="000000"/>
                <w:sz w:val="22"/>
                <w:szCs w:val="22"/>
                <w:u w:val="none"/>
              </w:rPr>
            </w:pPr>
          </w:p>
        </w:tc>
        <w:tc>
          <w:tcPr>
            <w:tcW w:w="1519" w:type="dxa"/>
            <w:shd w:val="clear" w:color="auto" w:fill="auto"/>
            <w:vAlign w:val="center"/>
          </w:tcPr>
          <w:p>
            <w:pPr>
              <w:rPr>
                <w:rFonts w:hint="eastAsia" w:ascii="宋体" w:hAnsi="宋体" w:eastAsia="宋体" w:cs="宋体"/>
                <w:i w:val="0"/>
                <w:color w:val="000000"/>
                <w:sz w:val="22"/>
                <w:szCs w:val="22"/>
                <w:u w:val="none"/>
              </w:rPr>
            </w:pPr>
          </w:p>
        </w:tc>
        <w:tc>
          <w:tcPr>
            <w:tcW w:w="581" w:type="dxa"/>
            <w:shd w:val="clear" w:color="auto" w:fill="auto"/>
            <w:vAlign w:val="center"/>
          </w:tcPr>
          <w:p>
            <w:pPr>
              <w:rPr>
                <w:rFonts w:hint="eastAsia" w:ascii="宋体" w:hAnsi="宋体" w:eastAsia="宋体" w:cs="宋体"/>
                <w:i w:val="0"/>
                <w:color w:val="000000"/>
                <w:sz w:val="22"/>
                <w:szCs w:val="22"/>
                <w:u w:val="none"/>
              </w:rPr>
            </w:pPr>
          </w:p>
        </w:tc>
        <w:tc>
          <w:tcPr>
            <w:tcW w:w="394" w:type="dxa"/>
            <w:shd w:val="clear" w:color="auto" w:fill="auto"/>
            <w:vAlign w:val="center"/>
          </w:tcPr>
          <w:p>
            <w:pPr>
              <w:rPr>
                <w:rFonts w:hint="eastAsia" w:ascii="宋体" w:hAnsi="宋体" w:eastAsia="宋体" w:cs="宋体"/>
                <w:i w:val="0"/>
                <w:color w:val="000000"/>
                <w:sz w:val="22"/>
                <w:szCs w:val="22"/>
                <w:u w:val="none"/>
              </w:rPr>
            </w:pPr>
          </w:p>
        </w:tc>
        <w:tc>
          <w:tcPr>
            <w:tcW w:w="506" w:type="dxa"/>
            <w:shd w:val="clear" w:color="auto" w:fill="auto"/>
            <w:vAlign w:val="center"/>
          </w:tcPr>
          <w:p>
            <w:pPr>
              <w:rPr>
                <w:rFonts w:hint="eastAsia" w:ascii="宋体" w:hAnsi="宋体" w:eastAsia="宋体" w:cs="宋体"/>
                <w:i w:val="0"/>
                <w:color w:val="000000"/>
                <w:sz w:val="22"/>
                <w:szCs w:val="22"/>
                <w:u w:val="none"/>
              </w:rPr>
            </w:pPr>
          </w:p>
        </w:tc>
        <w:tc>
          <w:tcPr>
            <w:tcW w:w="506" w:type="dxa"/>
            <w:shd w:val="clear" w:color="auto" w:fill="auto"/>
            <w:vAlign w:val="center"/>
          </w:tcPr>
          <w:p>
            <w:pPr>
              <w:rPr>
                <w:rFonts w:hint="eastAsia" w:ascii="宋体" w:hAnsi="宋体" w:eastAsia="宋体" w:cs="宋体"/>
                <w:i w:val="0"/>
                <w:color w:val="000000"/>
                <w:sz w:val="22"/>
                <w:szCs w:val="22"/>
                <w:u w:val="none"/>
              </w:rPr>
            </w:pPr>
          </w:p>
        </w:tc>
        <w:tc>
          <w:tcPr>
            <w:tcW w:w="469" w:type="dxa"/>
            <w:shd w:val="clear" w:color="auto" w:fill="auto"/>
            <w:vAlign w:val="center"/>
          </w:tcPr>
          <w:p>
            <w:pPr>
              <w:rPr>
                <w:rFonts w:hint="eastAsia" w:ascii="宋体" w:hAnsi="宋体" w:eastAsia="宋体" w:cs="宋体"/>
                <w:i w:val="0"/>
                <w:color w:val="000000"/>
                <w:sz w:val="22"/>
                <w:szCs w:val="22"/>
                <w:u w:val="none"/>
              </w:rPr>
            </w:pPr>
          </w:p>
        </w:tc>
        <w:tc>
          <w:tcPr>
            <w:tcW w:w="1401"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社会保障和就业支出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43,865,303.25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43,865,303.25</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民政管理事务</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8,068,326.00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8,068,326.00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2080201</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1,974,826.00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1,974,826.00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2080204</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拥军优属</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2080205</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老龄事务</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912,700.00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912,700.00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2080207</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行政区划和地名管理</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2080208</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基层政权和社区建设</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4,089,800.00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4,089,800.00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2080299</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其他民政管理事务支出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20808</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2080803</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在乡复员、退伍军人生活补助</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2080899</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其他优抚支出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退役安置</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6,554,000.00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6,554,000.00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2080901</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退役士兵安置</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1,764,000.00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1,764,000.00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2080902</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军队移交政府的离退休人员安置</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4,750,000.00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4,750,000.00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2080903</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军队移交政府离退休干部管理机构</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20810</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社会福利</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1,530,600.00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1,530,600.00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2081002</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老年福利</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1,017,600.00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1,017,600.00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2081099</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其他社会福利支出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513,000.00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513,000.00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20811</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残疾人事业</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4,843,420.00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4,843,420.00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2081101</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48,700.00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48,700.00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2081199</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其他残疾人事业支出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4,794,720.00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4,794,720.00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20815</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自然灾害生活救助</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2081501</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中央自然灾害生活补助</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20819</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最低生活保障</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13,464,400.00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13,464,400.00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2081901</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城市最低生活保障金支出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8,704,200.00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8,704,200.00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2081902</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农村最低生活保障金支出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4,760,200.00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4,760,200.00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20820</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临时救助</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1,813,900.00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1,813,900.00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2082001</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临时救助支出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1,655,000.00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1,655,000.00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2082002</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流浪乞讨人员救助支出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158,900.00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158,900.00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20821</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特困人员供养</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3,169,500.00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3,169,500.00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2082102</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农村五保供养支出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3,169,500.00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3,169,500.00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其他社会保障和就业支出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2089901</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其他社会保障和就业支出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医疗保障</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2100504</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优抚对象医疗补助</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2100509</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城乡医疗救助</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2,366,800.00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2,366,800.00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848,815.42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22960</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彩票公益金及对应专项债务收入安排的支出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2296099</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用于其他社会公益事业的彩票公益金支出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47,470,918.67</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46,752,323.25</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tbl>
      <w:tblPr>
        <w:tblStyle w:val="6"/>
        <w:tblW w:w="920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46"/>
        <w:gridCol w:w="1958"/>
        <w:gridCol w:w="1556"/>
        <w:gridCol w:w="1350"/>
        <w:gridCol w:w="1331"/>
        <w:gridCol w:w="544"/>
        <w:gridCol w:w="900"/>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9208" w:type="dxa"/>
            <w:gridSpan w:val="8"/>
            <w:shd w:val="clear" w:color="auto" w:fill="auto"/>
            <w:vAlign w:val="center"/>
          </w:tcPr>
          <w:p>
            <w:pPr>
              <w:keepNext w:val="0"/>
              <w:keepLines w:val="0"/>
              <w:widowControl/>
              <w:suppressLineNumbers w:val="0"/>
              <w:jc w:val="left"/>
              <w:textAlignment w:val="center"/>
              <w:rPr>
                <w:rFonts w:ascii="方正小标宋简体" w:hAnsi="方正小标宋简体" w:eastAsia="方正小标宋简体" w:cs="方正小标宋简体"/>
                <w:i w:val="0"/>
                <w:color w:val="000000"/>
                <w:sz w:val="36"/>
                <w:szCs w:val="36"/>
                <w:u w:val="none"/>
              </w:rPr>
            </w:pPr>
            <w:r>
              <w:rPr>
                <w:rFonts w:hint="eastAsia" w:ascii="仿宋" w:hAnsi="仿宋" w:eastAsia="仿宋" w:cs="仿宋"/>
                <w:i w:val="0"/>
                <w:color w:val="000000"/>
                <w:kern w:val="0"/>
                <w:sz w:val="32"/>
                <w:szCs w:val="32"/>
                <w:u w:val="none"/>
                <w:lang w:val="en-US" w:eastAsia="zh-CN" w:bidi="ar"/>
              </w:rPr>
              <w:t xml:space="preserve">表8              </w:t>
            </w: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shd w:val="clear" w:color="auto" w:fill="auto"/>
            <w:vAlign w:val="center"/>
          </w:tcPr>
          <w:p>
            <w:pPr>
              <w:jc w:val="left"/>
              <w:rPr>
                <w:rFonts w:hint="eastAsia" w:ascii="宋体" w:hAnsi="宋体" w:eastAsia="宋体" w:cs="宋体"/>
                <w:i w:val="0"/>
                <w:color w:val="000000"/>
                <w:sz w:val="21"/>
                <w:szCs w:val="21"/>
                <w:u w:val="none"/>
              </w:rPr>
            </w:pPr>
          </w:p>
        </w:tc>
        <w:tc>
          <w:tcPr>
            <w:tcW w:w="1958" w:type="dxa"/>
            <w:shd w:val="clear" w:color="auto" w:fill="auto"/>
            <w:vAlign w:val="center"/>
          </w:tcPr>
          <w:p>
            <w:pPr>
              <w:rPr>
                <w:rFonts w:hint="eastAsia" w:ascii="宋体" w:hAnsi="宋体" w:eastAsia="宋体" w:cs="宋体"/>
                <w:i w:val="0"/>
                <w:color w:val="000000"/>
                <w:sz w:val="22"/>
                <w:szCs w:val="22"/>
                <w:u w:val="none"/>
              </w:rPr>
            </w:pPr>
          </w:p>
        </w:tc>
        <w:tc>
          <w:tcPr>
            <w:tcW w:w="1556" w:type="dxa"/>
            <w:shd w:val="clear" w:color="auto" w:fill="auto"/>
            <w:vAlign w:val="center"/>
          </w:tcPr>
          <w:p>
            <w:pPr>
              <w:rPr>
                <w:rFonts w:hint="eastAsia" w:ascii="宋体" w:hAnsi="宋体" w:eastAsia="宋体" w:cs="宋体"/>
                <w:i w:val="0"/>
                <w:color w:val="000000"/>
                <w:sz w:val="22"/>
                <w:szCs w:val="22"/>
                <w:u w:val="none"/>
              </w:rPr>
            </w:pPr>
          </w:p>
        </w:tc>
        <w:tc>
          <w:tcPr>
            <w:tcW w:w="1350" w:type="dxa"/>
            <w:shd w:val="clear" w:color="auto" w:fill="auto"/>
            <w:vAlign w:val="center"/>
          </w:tcPr>
          <w:p>
            <w:pPr>
              <w:rPr>
                <w:rFonts w:hint="eastAsia" w:ascii="宋体" w:hAnsi="宋体" w:eastAsia="宋体" w:cs="宋体"/>
                <w:i w:val="0"/>
                <w:color w:val="000000"/>
                <w:sz w:val="22"/>
                <w:szCs w:val="22"/>
                <w:u w:val="none"/>
              </w:rPr>
            </w:pPr>
          </w:p>
        </w:tc>
        <w:tc>
          <w:tcPr>
            <w:tcW w:w="1331" w:type="dxa"/>
            <w:shd w:val="clear" w:color="auto" w:fill="auto"/>
            <w:vAlign w:val="center"/>
          </w:tcPr>
          <w:p>
            <w:pPr>
              <w:rPr>
                <w:rFonts w:hint="eastAsia" w:ascii="宋体" w:hAnsi="宋体" w:eastAsia="宋体" w:cs="宋体"/>
                <w:i w:val="0"/>
                <w:color w:val="000000"/>
                <w:sz w:val="22"/>
                <w:szCs w:val="22"/>
                <w:u w:val="none"/>
              </w:rPr>
            </w:pPr>
          </w:p>
        </w:tc>
        <w:tc>
          <w:tcPr>
            <w:tcW w:w="544" w:type="dxa"/>
            <w:shd w:val="clear" w:color="auto" w:fill="auto"/>
            <w:vAlign w:val="center"/>
          </w:tcPr>
          <w:p>
            <w:pPr>
              <w:rPr>
                <w:rFonts w:hint="eastAsia" w:ascii="宋体" w:hAnsi="宋体" w:eastAsia="宋体" w:cs="宋体"/>
                <w:i w:val="0"/>
                <w:color w:val="000000"/>
                <w:sz w:val="22"/>
                <w:szCs w:val="22"/>
                <w:u w:val="none"/>
              </w:rPr>
            </w:pPr>
          </w:p>
        </w:tc>
        <w:tc>
          <w:tcPr>
            <w:tcW w:w="1623"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社会保障和就业支出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43,865,303.25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8,528,826.00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35,336,477.25</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民政管理事务</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8,068,326.00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1,974,826.00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6,093,500.00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1,974,826.00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1,974,826.00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2080204</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拥军优属</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2080205</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老龄事务</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912,700.00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912,700.00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2080207</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行政区划和地名管理</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2080208</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基层政权和社区建设</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4,089,800.00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4,089,800.00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2080299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其他民政管理事务支出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226,000.00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20808</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1,100,000.00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2080803</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在乡复员、退伍军人生活补助</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950,000.00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2080899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其他优抚支出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退役安置</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6,554,000.00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6,554,000.00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2080901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退役士兵安置</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1,764,000.00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1,764,000.00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2080902</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军队移交政府的离退休人员安置</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4,750,000.00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4,750,000.00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2080903</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军队移交政府离退休干部管理机构</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社会福利</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1,530,600.00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1,530,600.00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2081002</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老年福利</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1,017,600.00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1,017,600.00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2081099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其他社会福利支出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513,000.00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513,000.00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残疾人事业</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4,843,420.00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4,843,420.00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2081101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48,700.00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48,700.00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2081199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其他残疾人事业支出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4,794,720.00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4,794,720.00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20815</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自然灾害生活救助</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2081501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中央自然灾害生活补助</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最低生活保障</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13,464,400.00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13,464,400.00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2081901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城市最低生活保障金支出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8,704,200.00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8,704,200.00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2081902</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农村最低生活保障金支出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4,760,200.00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4,760,200.00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临时救助</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1,813,900.00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1,813,900.00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2082001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临时救助支出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1,655,000.00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1,655,000.00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2082002</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流浪乞讨人员救助支出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158,900.00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158,900.00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特困人员供养</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3,169,500.00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3,169,500.00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2082102</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农村五保供养支出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3,169,500.00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3,169,500.00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其他社会保障和就业支出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2089901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其他社会保障和就业支出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2,701,157.25</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医疗保障</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2,756,800.00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2100504</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优抚对象医疗补助</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城乡医疗救助</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2,366,800.00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2,366,800.00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848,815.42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848,815.42</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彩票公益金及对应专项债务收入安排的支出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2296099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用于其他社会公益事业的彩票公益金支出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718,595.42</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130,220.00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47,470,918.67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8,528,826.00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38,942,092.67</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乃东区民政局</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47470918.67</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收入为一般公共预算拨款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46752323.25元，政府性基金预算拨款718595.42元。</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47470918.67</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社会保障和就业</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43865303.25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，医疗卫生与计划生育支出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2756800元，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84815.42元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47470918.67</w:t>
      </w:r>
      <w:r>
        <w:rPr>
          <w:rFonts w:hint="eastAsia" w:ascii="仿宋_GB2312" w:hAnsi="仿宋_GB2312" w:eastAsia="仿宋_GB2312" w:cs="仿宋_GB2312"/>
          <w:color w:val="000000" w:themeColor="text1"/>
          <w:sz w:val="32"/>
          <w:szCs w:val="26"/>
          <w14:textFill>
            <w14:solidFill>
              <w14:schemeClr w14:val="tx1"/>
            </w14:solidFill>
          </w14:textFill>
        </w:rPr>
        <w:t>元，上年一般公共预算财政拨款支出36862958.52元，比上年同期</w:t>
      </w:r>
      <w:r>
        <w:rPr>
          <w:rFonts w:hint="eastAsia" w:ascii="仿宋_GB2312" w:hAnsi="仿宋_GB2312" w:eastAsia="仿宋_GB2312" w:cs="仿宋_GB2312"/>
          <w:color w:val="000000" w:themeColor="text1"/>
          <w:sz w:val="32"/>
          <w:szCs w:val="26"/>
          <w:lang w:eastAsia="zh-CN"/>
          <w14:textFill>
            <w14:solidFill>
              <w14:schemeClr w14:val="tx1"/>
            </w14:solidFill>
          </w14:textFill>
        </w:rPr>
        <w:t>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10607960.15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47470918.67</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社会保障和就业</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43865303.25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92.4</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；医疗卫生与计划生育支出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2756800元，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5.81</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848815.42元，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1.79</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社会保障和就业</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43865303.25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民政管理事务8068326元。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1974826</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1635493.5</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193415</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6699917.5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拥军优属265000元。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26"/>
          <w:lang w:eastAsia="zh-CN"/>
          <w14:textFill>
            <w14:solidFill>
              <w14:schemeClr w14:val="tx1"/>
            </w14:solidFill>
          </w14:textFill>
        </w:rPr>
        <w:t>老龄事务</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912700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26"/>
          <w:lang w:eastAsia="zh-CN"/>
          <w14:textFill>
            <w14:solidFill>
              <w14:schemeClr w14:val="tx1"/>
            </w14:solidFill>
          </w14:textFill>
        </w:rPr>
        <w:t>）行政区划和地名管理</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（5）基层政权和社区建设4089800元。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（6）其他民政管理事务支出226000元。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2、抚恤1100000元。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（1）在乡复员、退伍军人生活补助950000元。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（2）其他优抚支出150000元。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3、退役安置6554000元。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（1）退役士兵安置1764000元。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（2）军队移交政府的离退休人员安置4750000元。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（3）军队移交政府退休干部管理机构40000元。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4、社会福利1530600元。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（1）老年福利1017600元。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（2）其他社会福利支出513000元。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5、残疾人事业4843420元。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（1）行政运行48700元。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（2）其他残疾人事业支出4794720元。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6、自然灾害生活救助620000元。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（1）中央自然灾害生活补助620000元。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7、最低生活保障13464400元。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（1）城市最低生活保障金支出8704200元。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（2）农村最低生活保障金支出4760200元。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8、临时救助1813900元。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（1）临时救助支出1655000元。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（2）流浪乞讨人员救助支出158900元。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9、特困人员供养3169500元。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（1）农村五保供养支出3169500元。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10、其他社会保障和就业支出2701157.25元。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（1）其他色会保障和就业支出2701157.25元。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医疗卫生与计划生育支出2756800元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1、医疗保障2756800元。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（1）优抚对象医疗补助390000元。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（2）城乡医疗救助2366800元。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其他支出848815.42元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1、彩票公益金及对应专项债务收入安排的支出718595.42元。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（1）用于其他社会公益事业的彩票公益金支出718595.42元。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2、其他支出130220元。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（1）其他支出130220元。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8528826</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1635493.5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19.18</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193415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2.27</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6699917.5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78.55</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150000</w:t>
      </w:r>
      <w:r>
        <w:rPr>
          <w:rFonts w:hint="eastAsia" w:ascii="仿宋_GB2312" w:hAnsi="仿宋_GB2312" w:eastAsia="仿宋_GB2312" w:cs="仿宋_GB2312"/>
          <w:color w:val="000000" w:themeColor="text1"/>
          <w:sz w:val="32"/>
          <w:szCs w:val="26"/>
          <w14:textFill>
            <w14:solidFill>
              <w14:schemeClr w14:val="tx1"/>
            </w14:solidFill>
          </w14:textFill>
        </w:rPr>
        <w:t>元，2015年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三公经费决算支出14073.23元，同比增加135926.77元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元,上年支出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5010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，同比减少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5010元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150000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150000</w:t>
      </w:r>
      <w:r>
        <w:rPr>
          <w:rFonts w:hint="eastAsia" w:ascii="仿宋_GB2312" w:hAnsi="仿宋_GB2312" w:eastAsia="仿宋_GB2312" w:cs="仿宋_GB2312"/>
          <w:color w:val="000000" w:themeColor="text1"/>
          <w:sz w:val="32"/>
          <w:szCs w:val="26"/>
          <w14:textFill>
            <w14:solidFill>
              <w14:schemeClr w14:val="tx1"/>
            </w14:solidFill>
          </w14:textFill>
        </w:rPr>
        <w:t>元，上年支出9063.23元，比上年增加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140936.77</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五、</w:t>
      </w:r>
      <w:r>
        <w:rPr>
          <w:rFonts w:hint="eastAsia" w:ascii="仿宋_GB2312" w:hAnsi="仿宋_GB2312" w:eastAsia="仿宋_GB2312" w:cs="仿宋_GB2312"/>
          <w:color w:val="000000" w:themeColor="text1"/>
          <w:sz w:val="32"/>
          <w:szCs w:val="26"/>
          <w:lang w:eastAsia="zh-CN"/>
          <w14:textFill>
            <w14:solidFill>
              <w14:schemeClr w14:val="tx1"/>
            </w14:solidFill>
          </w14:textFill>
        </w:rPr>
        <w:t>政府性基金支出决算说明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2016年政府性基金支出718595.42元。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六、</w:t>
      </w:r>
      <w:r>
        <w:rPr>
          <w:rFonts w:hint="eastAsia" w:ascii="仿宋_GB2312" w:hAnsi="仿宋_GB2312" w:eastAsia="仿宋_GB2312" w:cs="仿宋_GB2312"/>
          <w:color w:val="000000" w:themeColor="text1"/>
          <w:sz w:val="32"/>
          <w:szCs w:val="26"/>
          <w14:textFill>
            <w14:solidFill>
              <w14:schemeClr w14:val="tx1"/>
            </w14:solidFill>
          </w14:textFill>
        </w:rPr>
        <w:t>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47470918.67</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47470918.67</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46752323.25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，政府性基金预算拨款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718595.42元</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47470918.67</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社会保障和就业</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43865303.25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，医疗卫生与计划生育支出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2756800元，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848815.42元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eastAsia="zh-CN"/>
          <w14:textFill>
            <w14:solidFill>
              <w14:schemeClr w14:val="tx1"/>
            </w14:solidFill>
          </w14:textFill>
        </w:rPr>
        <w:t>七</w:t>
      </w:r>
      <w:r>
        <w:rPr>
          <w:rFonts w:hint="eastAsia" w:ascii="仿宋_GB2312" w:hAnsi="仿宋_GB2312" w:eastAsia="仿宋_GB2312" w:cs="仿宋_GB2312"/>
          <w:color w:val="000000" w:themeColor="text1"/>
          <w:sz w:val="32"/>
          <w:szCs w:val="26"/>
          <w14:textFill>
            <w14:solidFill>
              <w14:schemeClr w14:val="tx1"/>
            </w14:solidFill>
          </w14:textFill>
        </w:rPr>
        <w:t>、2016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47470918.67</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47470918.67</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46752323.25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，政府性基金预算拨款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718595.42元</w:t>
      </w:r>
      <w:r>
        <w:rPr>
          <w:rFonts w:hint="eastAsia" w:ascii="仿宋_GB2312" w:hAnsi="仿宋_GB2312" w:eastAsia="仿宋_GB2312" w:cs="仿宋_GB2312"/>
          <w:color w:val="000000" w:themeColor="text1"/>
          <w:sz w:val="32"/>
          <w:szCs w:val="26"/>
          <w14:textFill>
            <w14:solidFill>
              <w14:schemeClr w14:val="tx1"/>
            </w14:solidFill>
          </w14:textFill>
        </w:rPr>
        <w:t>）。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八</w:t>
      </w:r>
      <w:r>
        <w:rPr>
          <w:rFonts w:hint="eastAsia" w:ascii="仿宋_GB2312" w:hAnsi="仿宋_GB2312" w:eastAsia="仿宋_GB2312" w:cs="仿宋_GB2312"/>
          <w:color w:val="000000" w:themeColor="text1"/>
          <w:sz w:val="32"/>
          <w:szCs w:val="26"/>
          <w14:textFill>
            <w14:solidFill>
              <w14:schemeClr w14:val="tx1"/>
            </w14:solidFill>
          </w14:textFill>
        </w:rPr>
        <w:t>、2016年度支出决算情况说明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47470918.67</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社会保障和就业支出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43865303.25</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92.4</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；医疗卫生与计划生育支出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2756800元，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5.81</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848815.42元，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1.79</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hint="eastAsia"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5"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E9E6"/>
    <w:multiLevelType w:val="singleLevel"/>
    <w:tmpl w:val="2D0DE9E6"/>
    <w:lvl w:ilvl="0" w:tentative="0">
      <w:start w:val="1"/>
      <w:numFmt w:val="chineseCounting"/>
      <w:suff w:val="nothing"/>
      <w:lvlText w:val="%1、"/>
      <w:lvlJc w:val="left"/>
      <w:rPr>
        <w:rFonts w:hint="eastAsia"/>
      </w:rPr>
    </w:lvl>
  </w:abstractNum>
  <w:abstractNum w:abstractNumId="1">
    <w:nsid w:val="2DD0A523"/>
    <w:multiLevelType w:val="singleLevel"/>
    <w:tmpl w:val="2DD0A523"/>
    <w:lvl w:ilvl="0" w:tentative="0">
      <w:start w:val="1"/>
      <w:numFmt w:val="chineseCounting"/>
      <w:suff w:val="nothing"/>
      <w:lvlText w:val="%1、"/>
      <w:lvlJc w:val="left"/>
      <w:rPr>
        <w:rFonts w:hint="eastAsia"/>
      </w:rPr>
    </w:lvl>
  </w:abstractNum>
  <w:abstractNum w:abstractNumId="2">
    <w:nsid w:val="531C98D2"/>
    <w:multiLevelType w:val="singleLevel"/>
    <w:tmpl w:val="531C98D2"/>
    <w:lvl w:ilvl="0" w:tentative="0">
      <w:start w:val="1"/>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5916A36"/>
    <w:rsid w:val="13F106A8"/>
    <w:rsid w:val="1D9E79D6"/>
    <w:rsid w:val="22A4413C"/>
    <w:rsid w:val="26E57E8B"/>
    <w:rsid w:val="28D878CD"/>
    <w:rsid w:val="396D5533"/>
    <w:rsid w:val="3EDC4B6D"/>
    <w:rsid w:val="3EE36A25"/>
    <w:rsid w:val="43603CEB"/>
    <w:rsid w:val="44890A8C"/>
    <w:rsid w:val="45222F42"/>
    <w:rsid w:val="461360DA"/>
    <w:rsid w:val="48B676D7"/>
    <w:rsid w:val="4B020017"/>
    <w:rsid w:val="4F7C6531"/>
    <w:rsid w:val="609D6910"/>
    <w:rsid w:val="66516B3F"/>
    <w:rsid w:val="699A1B94"/>
    <w:rsid w:val="6A613DA0"/>
    <w:rsid w:val="6C92316B"/>
    <w:rsid w:val="751203EA"/>
    <w:rsid w:val="770259B3"/>
    <w:rsid w:val="78866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 w:type="character" w:customStyle="1" w:styleId="12">
    <w:name w:val="font51"/>
    <w:basedOn w:val="5"/>
    <w:qFormat/>
    <w:uiPriority w:val="0"/>
    <w:rPr>
      <w:rFonts w:hint="eastAsia" w:ascii="宋体" w:hAnsi="宋体" w:eastAsia="宋体" w:cs="宋体"/>
      <w:b/>
      <w:color w:val="000000"/>
      <w:sz w:val="24"/>
      <w:szCs w:val="24"/>
      <w:u w:val="none"/>
    </w:rPr>
  </w:style>
  <w:style w:type="character" w:customStyle="1" w:styleId="13">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2</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2018-12-29T06:25:00Z</cp:lastPrinted>
  <dcterms:modified xsi:type="dcterms:W3CDTF">2018-12-31T08:56:25Z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