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p>
    <w:p>
      <w:pPr>
        <w:jc w:val="center"/>
        <w:rPr>
          <w:rFonts w:asciiTheme="majorEastAsia" w:hAnsiTheme="majorEastAsia" w:eastAsiaTheme="majorEastAsia"/>
          <w:sz w:val="84"/>
          <w:szCs w:val="84"/>
        </w:rPr>
      </w:pPr>
    </w:p>
    <w:p>
      <w:pPr>
        <w:jc w:val="center"/>
        <w:rPr>
          <w:rFonts w:asciiTheme="majorEastAsia" w:hAnsiTheme="majorEastAsia" w:eastAsiaTheme="majorEastAsia"/>
          <w:sz w:val="84"/>
          <w:szCs w:val="84"/>
        </w:rPr>
      </w:pPr>
    </w:p>
    <w:p>
      <w:pPr>
        <w:jc w:val="center"/>
        <w:rPr>
          <w:rFonts w:asciiTheme="majorEastAsia" w:hAnsiTheme="majorEastAsia" w:eastAsiaTheme="majorEastAsia"/>
          <w:b/>
          <w:sz w:val="120"/>
          <w:szCs w:val="120"/>
        </w:rPr>
      </w:pPr>
      <w:r>
        <w:rPr>
          <w:rFonts w:hint="eastAsia" w:asciiTheme="majorEastAsia" w:hAnsiTheme="majorEastAsia" w:eastAsiaTheme="majorEastAsia"/>
          <w:b/>
          <w:sz w:val="120"/>
          <w:szCs w:val="120"/>
          <w:lang w:eastAsia="zh-CN"/>
        </w:rPr>
        <w:t>乃东区</w:t>
      </w:r>
      <w:r>
        <w:rPr>
          <w:rFonts w:hint="eastAsia" w:asciiTheme="majorEastAsia" w:hAnsiTheme="majorEastAsia" w:eastAsiaTheme="majorEastAsia"/>
          <w:b/>
          <w:sz w:val="120"/>
          <w:szCs w:val="120"/>
        </w:rPr>
        <w:t>环保局2016年</w:t>
      </w:r>
    </w:p>
    <w:p>
      <w:pPr>
        <w:jc w:val="center"/>
        <w:rPr>
          <w:rFonts w:ascii="黑体" w:hAnsi="黑体" w:eastAsia="黑体"/>
          <w:sz w:val="120"/>
          <w:szCs w:val="120"/>
        </w:rPr>
      </w:pPr>
      <w:r>
        <w:rPr>
          <w:rFonts w:hint="eastAsia" w:asciiTheme="majorEastAsia" w:hAnsiTheme="majorEastAsia" w:eastAsiaTheme="majorEastAsia"/>
          <w:b/>
          <w:sz w:val="120"/>
          <w:szCs w:val="120"/>
        </w:rPr>
        <w:t>部门决算</w:t>
      </w:r>
    </w:p>
    <w:p>
      <w:pPr>
        <w:jc w:val="center"/>
        <w:rPr>
          <w:rFonts w:ascii="黑体" w:hAnsi="黑体" w:eastAsia="黑体"/>
          <w:sz w:val="120"/>
          <w:szCs w:val="120"/>
        </w:rPr>
      </w:pPr>
    </w:p>
    <w:p>
      <w:pPr>
        <w:jc w:val="center"/>
        <w:rPr>
          <w:rFonts w:ascii="黑体" w:hAnsi="黑体" w:eastAsia="黑体"/>
          <w:sz w:val="84"/>
        </w:rPr>
      </w:pPr>
    </w:p>
    <w:p>
      <w:pPr>
        <w:jc w:val="center"/>
        <w:rPr>
          <w:rFonts w:ascii="黑体" w:hAnsi="黑体" w:eastAsia="黑体"/>
          <w:sz w:val="84"/>
        </w:rPr>
      </w:pPr>
    </w:p>
    <w:p>
      <w:pPr>
        <w:jc w:val="center"/>
        <w:rPr>
          <w:rFonts w:ascii="黑体" w:hAnsi="黑体" w:eastAsia="黑体"/>
          <w:sz w:val="84"/>
        </w:rPr>
      </w:pPr>
    </w:p>
    <w:p>
      <w:pPr>
        <w:rPr>
          <w:rFonts w:ascii="黑体" w:hAnsi="黑体" w:eastAsia="黑体"/>
          <w:sz w:val="84"/>
        </w:rPr>
      </w:pPr>
    </w:p>
    <w:p>
      <w:pPr>
        <w:jc w:val="center"/>
        <w:rPr>
          <w:rFonts w:ascii="黑体" w:hAnsi="黑体" w:eastAsia="黑体"/>
          <w:sz w:val="84"/>
        </w:rPr>
        <w:sectPr>
          <w:pgSz w:w="11900" w:h="16838"/>
          <w:pgMar w:top="1440" w:right="1268" w:bottom="1440" w:left="1800" w:header="720" w:footer="720" w:gutter="0"/>
          <w:cols w:equalWidth="0" w:num="1">
            <w:col w:w="8832"/>
          </w:cols>
        </w:sectPr>
      </w:pPr>
    </w:p>
    <w:p>
      <w:pPr>
        <w:jc w:val="center"/>
        <w:rPr>
          <w:sz w:val="24"/>
        </w:rPr>
      </w:pPr>
      <w:r>
        <w:rPr>
          <w:rFonts w:hint="eastAsia" w:ascii="黑体" w:hAnsi="黑体" w:eastAsia="黑体"/>
          <w:sz w:val="84"/>
        </w:rPr>
        <w:t xml:space="preserve"> 目 录</w:t>
      </w:r>
    </w:p>
    <w:p>
      <w:pPr>
        <w:spacing w:line="360" w:lineRule="auto"/>
        <w:jc w:val="left"/>
        <w:rPr>
          <w:sz w:val="24"/>
        </w:rPr>
      </w:pPr>
    </w:p>
    <w:p>
      <w:pPr>
        <w:ind w:right="609" w:rightChars="290"/>
        <w:rPr>
          <w:rFonts w:asciiTheme="majorEastAsia" w:hAnsiTheme="majorEastAsia" w:eastAsiaTheme="majorEastAsia"/>
          <w:b/>
          <w:sz w:val="48"/>
          <w:szCs w:val="48"/>
        </w:rPr>
      </w:pPr>
      <w:r>
        <w:rPr>
          <w:rFonts w:hint="eastAsia" w:asciiTheme="majorEastAsia" w:hAnsiTheme="majorEastAsia" w:eastAsiaTheme="majorEastAsia"/>
          <w:b/>
          <w:sz w:val="48"/>
          <w:szCs w:val="48"/>
        </w:rPr>
        <w:t>第一部分 乃东区环保局概况</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一、部门预算单位构成</w:t>
      </w:r>
    </w:p>
    <w:p>
      <w:pPr>
        <w:ind w:firstLine="880" w:firstLineChars="200"/>
        <w:jc w:val="left"/>
        <w:rPr>
          <w:rFonts w:asciiTheme="majorEastAsia" w:hAnsiTheme="majorEastAsia" w:eastAsiaTheme="majorEastAsia"/>
          <w:sz w:val="44"/>
          <w:szCs w:val="44"/>
        </w:rPr>
      </w:pPr>
      <w:r>
        <w:rPr>
          <w:rFonts w:hint="eastAsia" w:asciiTheme="majorEastAsia" w:hAnsiTheme="majorEastAsia" w:eastAsiaTheme="majorEastAsia"/>
          <w:sz w:val="44"/>
          <w:szCs w:val="44"/>
        </w:rPr>
        <w:t>二、部门职责和机构设置</w:t>
      </w:r>
    </w:p>
    <w:p>
      <w:pPr>
        <w:ind w:left="-424" w:leftChars="-202"/>
        <w:rPr>
          <w:rFonts w:asciiTheme="majorEastAsia" w:hAnsiTheme="majorEastAsia" w:eastAsiaTheme="majorEastAsia"/>
          <w:b/>
          <w:sz w:val="48"/>
          <w:szCs w:val="48"/>
        </w:rPr>
      </w:pPr>
      <w:r>
        <w:rPr>
          <w:rFonts w:hint="eastAsia" w:asciiTheme="majorEastAsia" w:hAnsiTheme="majorEastAsia" w:eastAsiaTheme="majorEastAsia"/>
          <w:b/>
          <w:sz w:val="48"/>
          <w:szCs w:val="48"/>
        </w:rPr>
        <w:t>第二部分 乃东区环保局2016年部门决算表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一、财政拨款收支总表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二、一般公共预算支出表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三、一般公共预算基本支出表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四、一般公共预算</w:t>
      </w:r>
      <w:r>
        <w:rPr>
          <w:rFonts w:asciiTheme="majorEastAsia" w:hAnsiTheme="majorEastAsia" w:eastAsiaTheme="majorEastAsia"/>
          <w:sz w:val="44"/>
          <w:szCs w:val="44"/>
        </w:rPr>
        <w:t>“</w:t>
      </w:r>
      <w:r>
        <w:rPr>
          <w:rFonts w:hint="eastAsia" w:asciiTheme="majorEastAsia" w:hAnsiTheme="majorEastAsia" w:eastAsiaTheme="majorEastAsia"/>
          <w:sz w:val="44"/>
          <w:szCs w:val="44"/>
        </w:rPr>
        <w:t>三公</w:t>
      </w:r>
      <w:r>
        <w:rPr>
          <w:rFonts w:asciiTheme="majorEastAsia" w:hAnsiTheme="majorEastAsia" w:eastAsiaTheme="majorEastAsia"/>
          <w:sz w:val="44"/>
          <w:szCs w:val="44"/>
        </w:rPr>
        <w:t>”</w:t>
      </w:r>
      <w:r>
        <w:rPr>
          <w:rFonts w:hint="eastAsia" w:asciiTheme="majorEastAsia" w:hAnsiTheme="majorEastAsia" w:eastAsiaTheme="majorEastAsia"/>
          <w:sz w:val="44"/>
          <w:szCs w:val="44"/>
        </w:rPr>
        <w:t>经费支出表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五、政府性基金预算支出表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六、部门收支总表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七、部门收入总表</w:t>
      </w:r>
    </w:p>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八、部门支出总表</w:t>
      </w:r>
    </w:p>
    <w:p>
      <w:pPr>
        <w:rPr>
          <w:rFonts w:asciiTheme="majorEastAsia" w:hAnsiTheme="majorEastAsia" w:eastAsiaTheme="majorEastAsia"/>
          <w:b/>
          <w:sz w:val="48"/>
          <w:szCs w:val="48"/>
        </w:rPr>
      </w:pPr>
      <w:r>
        <w:rPr>
          <w:rFonts w:hint="eastAsia" w:asciiTheme="majorEastAsia" w:hAnsiTheme="majorEastAsia" w:eastAsiaTheme="majorEastAsia"/>
          <w:b/>
          <w:sz w:val="48"/>
          <w:szCs w:val="48"/>
        </w:rPr>
        <w:t>第三部分 乃东区环保局</w:t>
      </w:r>
      <w:r>
        <w:rPr>
          <w:rFonts w:asciiTheme="majorEastAsia" w:hAnsiTheme="majorEastAsia" w:eastAsiaTheme="majorEastAsia"/>
          <w:b/>
          <w:sz w:val="48"/>
          <w:szCs w:val="48"/>
        </w:rPr>
        <w:t>201</w:t>
      </w:r>
      <w:r>
        <w:rPr>
          <w:rFonts w:hint="eastAsia" w:asciiTheme="majorEastAsia" w:hAnsiTheme="majorEastAsia" w:eastAsiaTheme="majorEastAsia"/>
          <w:b/>
          <w:sz w:val="48"/>
          <w:szCs w:val="48"/>
        </w:rPr>
        <w:t>6年部门决算数据分析</w:t>
      </w:r>
    </w:p>
    <w:p>
      <w:pPr>
        <w:rPr>
          <w:rFonts w:asciiTheme="majorEastAsia" w:hAnsiTheme="majorEastAsia" w:eastAsiaTheme="majorEastAsia"/>
          <w:b/>
          <w:sz w:val="48"/>
          <w:szCs w:val="48"/>
        </w:rPr>
        <w:sectPr>
          <w:footerReference r:id="rId3" w:type="default"/>
          <w:pgSz w:w="11900" w:h="16838"/>
          <w:pgMar w:top="1440" w:right="1268" w:bottom="1440" w:left="1800" w:header="720" w:footer="720" w:gutter="0"/>
          <w:pgNumType w:start="1"/>
          <w:cols w:equalWidth="0" w:num="1">
            <w:col w:w="8832"/>
          </w:cols>
        </w:sectPr>
      </w:pPr>
      <w:r>
        <w:rPr>
          <w:rFonts w:hint="eastAsia" w:asciiTheme="majorEastAsia" w:hAnsiTheme="majorEastAsia" w:eastAsiaTheme="majorEastAsia"/>
          <w:b/>
          <w:sz w:val="48"/>
          <w:szCs w:val="48"/>
        </w:rPr>
        <w:t>第四部分 名词解释</w:t>
      </w:r>
      <w:bookmarkStart w:id="0" w:name="page3"/>
      <w:bookmarkEnd w:id="0"/>
    </w:p>
    <w:p>
      <w:pPr>
        <w:rPr>
          <w:rFonts w:asciiTheme="majorEastAsia" w:hAnsiTheme="majorEastAsia" w:eastAsiaTheme="majorEastAsia"/>
          <w:sz w:val="44"/>
          <w:szCs w:val="4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numPr>
          <w:ilvl w:val="0"/>
          <w:numId w:val="1"/>
        </w:numPr>
        <w:overflowPunct w:val="0"/>
        <w:spacing w:line="282" w:lineRule="auto"/>
        <w:jc w:val="center"/>
        <w:rPr>
          <w:rFonts w:ascii="黑体" w:hAnsi="黑体" w:eastAsia="黑体"/>
          <w:sz w:val="84"/>
        </w:rPr>
      </w:pPr>
      <w:r>
        <w:rPr>
          <w:rFonts w:hint="eastAsia" w:ascii="黑体" w:hAnsi="黑体" w:eastAsia="黑体"/>
          <w:sz w:val="84"/>
        </w:rPr>
        <w:t xml:space="preserve">分 </w:t>
      </w:r>
    </w:p>
    <w:p>
      <w:pPr>
        <w:overflowPunct w:val="0"/>
        <w:spacing w:line="282" w:lineRule="auto"/>
        <w:ind w:firstLine="840" w:firstLineChars="100"/>
        <w:rPr>
          <w:rFonts w:ascii="黑体" w:hAnsi="黑体" w:eastAsia="黑体"/>
          <w:sz w:val="84"/>
        </w:rPr>
      </w:pPr>
      <w:r>
        <w:rPr>
          <w:rFonts w:hint="eastAsia" w:ascii="黑体" w:hAnsi="黑体" w:eastAsia="黑体"/>
          <w:sz w:val="84"/>
        </w:rPr>
        <w:t>乃东区环保局概况</w:t>
      </w:r>
    </w:p>
    <w:p>
      <w:pPr>
        <w:overflowPunct w:val="0"/>
        <w:spacing w:line="282" w:lineRule="auto"/>
        <w:rPr>
          <w:rFonts w:ascii="黑体" w:hAnsi="黑体" w:eastAsia="黑体"/>
          <w:sz w:val="84"/>
        </w:rPr>
      </w:pPr>
    </w:p>
    <w:p>
      <w:pPr>
        <w:ind w:firstLine="720" w:firstLineChars="200"/>
        <w:jc w:val="left"/>
        <w:rPr>
          <w:rFonts w:ascii="黑体" w:hAnsi="黑体" w:eastAsia="黑体"/>
          <w:sz w:val="36"/>
        </w:rPr>
        <w:sectPr>
          <w:footerReference r:id="rId4" w:type="default"/>
          <w:pgSz w:w="11900" w:h="16838"/>
          <w:pgMar w:top="1440" w:right="1640" w:bottom="732" w:left="1800" w:header="720" w:footer="720" w:gutter="0"/>
          <w:cols w:equalWidth="0" w:num="1">
            <w:col w:w="8460"/>
          </w:cols>
        </w:sectPr>
      </w:pPr>
    </w:p>
    <w:p>
      <w:pPr>
        <w:ind w:firstLine="720" w:firstLineChars="200"/>
        <w:jc w:val="left"/>
        <w:rPr>
          <w:sz w:val="24"/>
        </w:rPr>
      </w:pPr>
      <w:r>
        <w:rPr>
          <w:rFonts w:hint="eastAsia" w:ascii="黑体" w:hAnsi="黑体" w:eastAsia="黑体"/>
          <w:sz w:val="36"/>
        </w:rPr>
        <w:t>一、部门预算单位构成</w:t>
      </w:r>
    </w:p>
    <w:p>
      <w:pPr>
        <w:ind w:firstLine="640" w:firstLineChars="200"/>
        <w:jc w:val="left"/>
        <w:rPr>
          <w:rFonts w:ascii="仿宋" w:hAnsi="仿宋" w:eastAsia="仿宋"/>
          <w:sz w:val="32"/>
        </w:rPr>
      </w:pPr>
      <w:r>
        <w:rPr>
          <w:rFonts w:hint="eastAsia" w:ascii="仿宋" w:hAnsi="仿宋" w:eastAsia="仿宋"/>
          <w:sz w:val="32"/>
        </w:rPr>
        <w:t>纳入环保局2018年部门预算编制范围单位包括环保局和监测（监察）大队两个部门。</w:t>
      </w:r>
    </w:p>
    <w:p>
      <w:pPr>
        <w:ind w:left="720"/>
        <w:jc w:val="left"/>
        <w:rPr>
          <w:sz w:val="24"/>
        </w:rPr>
      </w:pPr>
      <w:r>
        <w:rPr>
          <w:rFonts w:hint="eastAsia" w:ascii="黑体" w:hAnsi="黑体" w:eastAsia="黑体"/>
          <w:sz w:val="36"/>
        </w:rPr>
        <w:t>二、部门职责和机构设置</w:t>
      </w:r>
    </w:p>
    <w:p>
      <w:pPr>
        <w:ind w:left="640"/>
        <w:jc w:val="left"/>
        <w:rPr>
          <w:sz w:val="32"/>
          <w:szCs w:val="32"/>
        </w:rPr>
      </w:pPr>
      <w:r>
        <w:rPr>
          <w:rFonts w:hint="eastAsia" w:ascii="宋体" w:hAnsi="宋体"/>
          <w:sz w:val="32"/>
          <w:szCs w:val="32"/>
        </w:rPr>
        <w:t>（一）</w:t>
      </w:r>
      <w:r>
        <w:rPr>
          <w:rFonts w:hint="eastAsia" w:ascii="宋体" w:hAnsi="宋体"/>
          <w:b/>
          <w:sz w:val="32"/>
          <w:szCs w:val="32"/>
        </w:rPr>
        <w:t>环保部门职责。</w:t>
      </w:r>
    </w:p>
    <w:p>
      <w:pPr>
        <w:spacing w:line="576" w:lineRule="exact"/>
        <w:ind w:firstLine="640" w:firstLineChars="200"/>
        <w:jc w:val="left"/>
        <w:rPr>
          <w:rFonts w:eastAsia="仿宋_GB2312"/>
          <w:sz w:val="32"/>
          <w:szCs w:val="32"/>
        </w:rPr>
      </w:pPr>
      <w:r>
        <w:rPr>
          <w:rFonts w:hint="eastAsia" w:eastAsia="仿宋_GB2312"/>
          <w:sz w:val="32"/>
          <w:szCs w:val="32"/>
        </w:rPr>
        <w:t>1、</w:t>
      </w:r>
      <w:r>
        <w:rPr>
          <w:rFonts w:eastAsia="仿宋_GB2312"/>
          <w:sz w:val="32"/>
          <w:szCs w:val="32"/>
        </w:rPr>
        <w:t>负责实施环境保护制度，贯彻执行国家、自治区和市</w:t>
      </w:r>
      <w:r>
        <w:rPr>
          <w:rFonts w:hint="eastAsia" w:eastAsia="仿宋_GB2312"/>
          <w:sz w:val="32"/>
          <w:szCs w:val="32"/>
        </w:rPr>
        <w:t>政府</w:t>
      </w:r>
      <w:r>
        <w:rPr>
          <w:rFonts w:eastAsia="仿宋_GB2312"/>
          <w:sz w:val="32"/>
          <w:szCs w:val="32"/>
        </w:rPr>
        <w:t>有关环境保护法律、法规和方针、政策；监督实施环境管理制度标准和技术规范。</w:t>
      </w:r>
    </w:p>
    <w:p>
      <w:pPr>
        <w:spacing w:line="576"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组织编制全区环境保护功能区划；组织拟定全区重点区域、流域污染防治和生态环境保护、污染物排放总量控制、饮用水源地环境保护等规划并组织实施；参与制定全区主体功能区划。</w:t>
      </w:r>
    </w:p>
    <w:p>
      <w:pPr>
        <w:spacing w:line="576" w:lineRule="exact"/>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负责全区环境问题的统筹协调和监督管理。牵头协调全区内环境污染事故、生态破坏事件和信访案件的调查处理；指导协调各乡（镇）人民政府突发环境事件的应急、预警工作；指导、协调各乡（镇）和各行业环境保护工作；承担环境行政处罚工作。</w:t>
      </w:r>
    </w:p>
    <w:p>
      <w:pPr>
        <w:spacing w:line="576" w:lineRule="exact"/>
        <w:ind w:firstLine="640" w:firstLineChars="200"/>
        <w:jc w:val="left"/>
        <w:rPr>
          <w:rFonts w:eastAsia="仿宋_GB2312"/>
          <w:sz w:val="32"/>
          <w:szCs w:val="32"/>
        </w:rPr>
      </w:pPr>
      <w:r>
        <w:rPr>
          <w:rFonts w:hint="eastAsia" w:eastAsia="仿宋_GB2312"/>
          <w:sz w:val="32"/>
          <w:szCs w:val="32"/>
        </w:rPr>
        <w:t>4、</w:t>
      </w:r>
      <w:r>
        <w:rPr>
          <w:rFonts w:eastAsia="仿宋_GB2312"/>
          <w:sz w:val="32"/>
          <w:szCs w:val="32"/>
        </w:rPr>
        <w:t>承担落实自治区、市和区减排目标的责任。组织实施全区主要污染物排放总量控制和排污许可证制度；督查、督办、核查各乡（镇）及重点排污企业主要污染物减排任务完成情况；负责主要污染物总量控制、减排考核并公布考核结果。</w:t>
      </w:r>
    </w:p>
    <w:p>
      <w:pPr>
        <w:spacing w:line="576" w:lineRule="exact"/>
        <w:ind w:firstLine="640" w:firstLineChars="200"/>
        <w:jc w:val="left"/>
        <w:rPr>
          <w:rFonts w:eastAsia="仿宋_GB2312"/>
          <w:sz w:val="32"/>
          <w:szCs w:val="32"/>
        </w:rPr>
      </w:pPr>
      <w:r>
        <w:rPr>
          <w:rFonts w:hint="eastAsia" w:eastAsia="仿宋_GB2312"/>
          <w:sz w:val="32"/>
          <w:szCs w:val="32"/>
        </w:rPr>
        <w:t>5、</w:t>
      </w:r>
      <w:r>
        <w:rPr>
          <w:rFonts w:eastAsia="仿宋_GB2312"/>
          <w:sz w:val="32"/>
          <w:szCs w:val="32"/>
        </w:rPr>
        <w:t>实施环境保护目标责任制。牵头制定环境保护目标责任制的考核指标体系、考核办法并组织实施。</w:t>
      </w:r>
    </w:p>
    <w:p>
      <w:pPr>
        <w:spacing w:line="576" w:lineRule="exact"/>
        <w:ind w:firstLine="640" w:firstLineChars="200"/>
        <w:jc w:val="left"/>
        <w:rPr>
          <w:rFonts w:eastAsia="仿宋_GB2312"/>
          <w:sz w:val="32"/>
          <w:szCs w:val="32"/>
        </w:rPr>
      </w:pPr>
      <w:r>
        <w:rPr>
          <w:rFonts w:hint="eastAsia" w:eastAsia="仿宋_GB2312"/>
          <w:sz w:val="32"/>
          <w:szCs w:val="32"/>
        </w:rPr>
        <w:t>6、</w:t>
      </w:r>
      <w:r>
        <w:rPr>
          <w:rFonts w:eastAsia="仿宋_GB2312"/>
          <w:sz w:val="32"/>
          <w:szCs w:val="32"/>
        </w:rPr>
        <w:t xml:space="preserve">对环境保护领域固定资产投资规模和方向、全区财政性资金安排提出建议。会同有关部门组织实施环境保护固定资产投资项目并进行监督；参与制定区环境经济政策，参与指导和推动循环经济和环保产业发展。 </w:t>
      </w:r>
    </w:p>
    <w:p>
      <w:pPr>
        <w:spacing w:line="576" w:lineRule="exact"/>
        <w:ind w:firstLine="640" w:firstLineChars="200"/>
        <w:jc w:val="left"/>
        <w:rPr>
          <w:rFonts w:eastAsia="仿宋_GB2312"/>
          <w:sz w:val="32"/>
          <w:szCs w:val="32"/>
        </w:rPr>
      </w:pPr>
      <w:r>
        <w:rPr>
          <w:rFonts w:hint="eastAsia" w:eastAsia="仿宋_GB2312"/>
          <w:sz w:val="32"/>
          <w:szCs w:val="32"/>
        </w:rPr>
        <w:t>7、</w:t>
      </w:r>
      <w:r>
        <w:rPr>
          <w:rFonts w:eastAsia="仿宋_GB2312"/>
          <w:sz w:val="32"/>
          <w:szCs w:val="32"/>
        </w:rPr>
        <w:t>承担从源头上预防、控制环境污染和环境破坏的责任。受区政府委托对重大经济和技术政策、发展规划以及重大经济开发规划、计划进行环境影响评价；对涉及环境保护的政策、规章草案提出有关环境影响方面的意见；负责建设项目“三同时”制度的落实和竣工环境保护验收；按规定审批建设项目环境影响评价文件。</w:t>
      </w:r>
    </w:p>
    <w:p>
      <w:pPr>
        <w:spacing w:line="576" w:lineRule="exact"/>
        <w:ind w:firstLine="640" w:firstLineChars="200"/>
        <w:jc w:val="left"/>
        <w:rPr>
          <w:rFonts w:eastAsia="仿宋_GB2312"/>
          <w:sz w:val="32"/>
          <w:szCs w:val="32"/>
        </w:rPr>
      </w:pPr>
      <w:r>
        <w:rPr>
          <w:rFonts w:hint="eastAsia" w:eastAsia="仿宋_GB2312"/>
          <w:sz w:val="32"/>
          <w:szCs w:val="32"/>
        </w:rPr>
        <w:t>8、</w:t>
      </w:r>
      <w:r>
        <w:rPr>
          <w:rFonts w:eastAsia="仿宋_GB2312"/>
          <w:sz w:val="32"/>
          <w:szCs w:val="32"/>
        </w:rPr>
        <w:t>负责全区环境污染防治的监督管理。对水体、大气、土壤、噪声、光、恶臭、固体废物、化学品、机动车、扬尘、工业有毒有害废物等的污染进行监督管理；会同有关部门监督管理饮用水水源地环境保护工作；负责环境保护设施及运营单位的监督管理；负责环境统计和污染源普查工作；负责指导乡（镇）和农牧区的环境综合整治工作。按权限或受委托征收全区内排污费；负责全区内环境污染投诉和环境应急工作。</w:t>
      </w:r>
    </w:p>
    <w:p>
      <w:pPr>
        <w:spacing w:line="576" w:lineRule="exact"/>
        <w:ind w:firstLine="640" w:firstLineChars="200"/>
        <w:jc w:val="left"/>
        <w:rPr>
          <w:rFonts w:eastAsia="仿宋_GB2312"/>
          <w:sz w:val="32"/>
          <w:szCs w:val="32"/>
        </w:rPr>
      </w:pPr>
      <w:r>
        <w:rPr>
          <w:rFonts w:hint="eastAsia" w:eastAsia="仿宋_GB2312"/>
          <w:sz w:val="32"/>
          <w:szCs w:val="32"/>
        </w:rPr>
        <w:t>9、</w:t>
      </w:r>
      <w:r>
        <w:rPr>
          <w:rFonts w:eastAsia="仿宋_GB2312"/>
          <w:sz w:val="32"/>
          <w:szCs w:val="32"/>
        </w:rPr>
        <w:t xml:space="preserve">负责指导、协调、监督生态环境保护、生态乃东建设。组织评估生态环境质量状况，负责监督生态环境保护工作；负责各种类型保护区的环境保护工作，负责向区政府提出各类保护区新建和调整的建议；协调和监督野生动植物保护、湿地环境保护、荒漠化防治工作；协调、负责农村生态环境保护；监督生物技术环境安全，负责协调生物多样性保护；负责协调和监督生态示范创建工作。 </w:t>
      </w:r>
    </w:p>
    <w:p>
      <w:pPr>
        <w:spacing w:line="576" w:lineRule="exact"/>
        <w:ind w:firstLine="640" w:firstLineChars="200"/>
        <w:jc w:val="left"/>
        <w:rPr>
          <w:rFonts w:eastAsia="仿宋_GB2312"/>
          <w:sz w:val="32"/>
          <w:szCs w:val="32"/>
        </w:rPr>
      </w:pPr>
      <w:r>
        <w:rPr>
          <w:rFonts w:hint="eastAsia" w:eastAsia="仿宋_GB2312"/>
          <w:sz w:val="32"/>
          <w:szCs w:val="32"/>
        </w:rPr>
        <w:t>10、</w:t>
      </w:r>
      <w:r>
        <w:rPr>
          <w:rFonts w:eastAsia="仿宋_GB2312"/>
          <w:sz w:val="32"/>
          <w:szCs w:val="32"/>
        </w:rPr>
        <w:t>负责辐射安全的监督管理。负责辐射环境事故应急管理工作；负责放射性同位素及射线装置监督管理；监督电磁辐射、伴有放射性矿产资源开发利用中的污染防治；负责开展区辐射环境监测；承担放射性废物处理、处置的安全监督管理工作。</w:t>
      </w:r>
    </w:p>
    <w:p>
      <w:pPr>
        <w:spacing w:line="576" w:lineRule="exact"/>
        <w:ind w:firstLine="640" w:firstLineChars="200"/>
        <w:jc w:val="left"/>
        <w:rPr>
          <w:rFonts w:eastAsia="仿宋_GB2312"/>
          <w:sz w:val="32"/>
          <w:szCs w:val="32"/>
        </w:rPr>
      </w:pPr>
      <w:r>
        <w:rPr>
          <w:rFonts w:hint="eastAsia" w:eastAsia="仿宋_GB2312"/>
          <w:sz w:val="32"/>
          <w:szCs w:val="32"/>
        </w:rPr>
        <w:t>11、</w:t>
      </w:r>
      <w:r>
        <w:rPr>
          <w:rFonts w:eastAsia="仿宋_GB2312"/>
          <w:sz w:val="32"/>
          <w:szCs w:val="32"/>
        </w:rPr>
        <w:t xml:space="preserve">负责环境监测和信息发布。贯彻落实国家及自治区环境监测制度和规范，组织实施环境质量监测、污染源监督性监测和常规监测；负责对全区环境质量状况进行调查评估、预测预警。负责全区环境监测网和全区环境信息网；负责建立和实行环境质量公告制度，并统一发布全区环境状况公报和重大环境信息。 </w:t>
      </w:r>
    </w:p>
    <w:p>
      <w:pPr>
        <w:spacing w:line="576" w:lineRule="exact"/>
        <w:ind w:firstLine="640" w:firstLineChars="200"/>
        <w:jc w:val="left"/>
        <w:rPr>
          <w:rFonts w:eastAsia="仿宋_GB2312"/>
          <w:sz w:val="32"/>
          <w:szCs w:val="32"/>
        </w:rPr>
      </w:pPr>
      <w:r>
        <w:rPr>
          <w:rFonts w:hint="eastAsia" w:eastAsia="仿宋_GB2312"/>
          <w:sz w:val="32"/>
          <w:szCs w:val="32"/>
        </w:rPr>
        <w:t>12、</w:t>
      </w:r>
      <w:r>
        <w:rPr>
          <w:rFonts w:eastAsia="仿宋_GB2312"/>
          <w:sz w:val="32"/>
          <w:szCs w:val="32"/>
        </w:rPr>
        <w:t>开展环境保护科技工作。受区政府委托参与处理涉外环境保护事务；负责全区环境保护科学研究和技术工程示范，推动环境技术管理体系建设；参与应对气候变化工作。</w:t>
      </w:r>
    </w:p>
    <w:p>
      <w:pPr>
        <w:ind w:firstLine="640" w:firstLineChars="200"/>
        <w:rPr>
          <w:rFonts w:eastAsia="仿宋_GB2312"/>
          <w:sz w:val="32"/>
          <w:szCs w:val="32"/>
        </w:rPr>
      </w:pPr>
      <w:r>
        <w:rPr>
          <w:rFonts w:hint="eastAsia" w:eastAsia="仿宋_GB2312"/>
          <w:sz w:val="32"/>
          <w:szCs w:val="32"/>
        </w:rPr>
        <w:t>13、</w:t>
      </w:r>
      <w:r>
        <w:rPr>
          <w:rFonts w:eastAsia="仿宋_GB2312"/>
          <w:sz w:val="32"/>
          <w:szCs w:val="32"/>
        </w:rPr>
        <w:t xml:space="preserve">负责环境保护宣传教育工作。落实全区环境保护宣传教育纲要；开展生态文明、环境友好型社会、生态乃东和西藏高原国家生态安全屏障建设的有关宣传教育工作；推动社会公众和社会组织参与环境保护。负责“绿色创建”活动。 </w:t>
      </w:r>
      <w:r>
        <w:rPr>
          <w:rFonts w:eastAsia="仿宋_GB2312"/>
          <w:sz w:val="32"/>
          <w:szCs w:val="32"/>
        </w:rPr>
        <w:br w:type="textWrapping"/>
      </w:r>
      <w:r>
        <w:rPr>
          <w:rFonts w:hint="eastAsia" w:eastAsia="仿宋_GB2312"/>
          <w:sz w:val="32"/>
          <w:szCs w:val="32"/>
        </w:rPr>
        <w:t>14、</w:t>
      </w:r>
      <w:r>
        <w:rPr>
          <w:rFonts w:eastAsia="仿宋_GB2312"/>
          <w:sz w:val="32"/>
          <w:szCs w:val="32"/>
        </w:rPr>
        <w:t>承办区政府交办的其他事项。</w:t>
      </w:r>
    </w:p>
    <w:p>
      <w:pPr>
        <w:ind w:firstLine="321" w:firstLineChars="100"/>
        <w:rPr>
          <w:rFonts w:eastAsia="仿宋_GB2312"/>
          <w:b/>
          <w:bCs/>
          <w:sz w:val="32"/>
          <w:szCs w:val="32"/>
        </w:rPr>
      </w:pPr>
      <w:r>
        <w:rPr>
          <w:rFonts w:hint="eastAsia" w:eastAsia="仿宋_GB2312"/>
          <w:b/>
          <w:bCs/>
          <w:sz w:val="32"/>
          <w:szCs w:val="32"/>
        </w:rPr>
        <w:t>（二）环境监测站（环境执法大队）职责。</w:t>
      </w:r>
    </w:p>
    <w:p>
      <w:pPr>
        <w:rPr>
          <w:rFonts w:eastAsia="仿宋_GB2312"/>
          <w:sz w:val="32"/>
          <w:szCs w:val="32"/>
        </w:rPr>
      </w:pPr>
      <w:r>
        <w:rPr>
          <w:rFonts w:hint="eastAsia" w:eastAsia="仿宋_GB2312"/>
          <w:sz w:val="32"/>
          <w:szCs w:val="32"/>
        </w:rPr>
        <w:t xml:space="preserve">      1、贯彻执行国家和地方环境保护法律、法规及方针、政策。</w:t>
      </w:r>
    </w:p>
    <w:p>
      <w:pPr>
        <w:rPr>
          <w:rFonts w:eastAsia="仿宋_GB2312"/>
          <w:sz w:val="32"/>
          <w:szCs w:val="32"/>
        </w:rPr>
      </w:pPr>
      <w:r>
        <w:rPr>
          <w:rFonts w:hint="eastAsia" w:eastAsia="仿宋_GB2312"/>
          <w:sz w:val="32"/>
          <w:szCs w:val="32"/>
        </w:rPr>
        <w:t xml:space="preserve">       2、负责拟定全区环境监测规划、计划并认真贯彻执行。</w:t>
      </w:r>
    </w:p>
    <w:p>
      <w:pPr>
        <w:rPr>
          <w:rFonts w:eastAsia="仿宋_GB2312"/>
          <w:sz w:val="32"/>
          <w:szCs w:val="32"/>
        </w:rPr>
      </w:pPr>
      <w:r>
        <w:rPr>
          <w:rFonts w:hint="eastAsia" w:eastAsia="仿宋_GB2312"/>
          <w:sz w:val="32"/>
          <w:szCs w:val="32"/>
        </w:rPr>
        <w:t xml:space="preserve">       3、按照国家污染监测技术规范开展环境质量监测，为环境管理决策服务。</w:t>
      </w:r>
    </w:p>
    <w:p>
      <w:pPr>
        <w:rPr>
          <w:rFonts w:eastAsia="仿宋_GB2312"/>
          <w:sz w:val="32"/>
          <w:szCs w:val="32"/>
        </w:rPr>
      </w:pPr>
      <w:r>
        <w:rPr>
          <w:rFonts w:hint="eastAsia" w:eastAsia="仿宋_GB2312"/>
          <w:sz w:val="32"/>
          <w:szCs w:val="32"/>
        </w:rPr>
        <w:t xml:space="preserve">       4、按照国家污染源监测技术规范对本辖区内重点污染开展监督检测，为执行和项环保管理制度与措施提供依据。</w:t>
      </w:r>
    </w:p>
    <w:p>
      <w:pPr>
        <w:rPr>
          <w:rFonts w:eastAsia="仿宋_GB2312"/>
          <w:sz w:val="32"/>
          <w:szCs w:val="32"/>
        </w:rPr>
      </w:pPr>
      <w:r>
        <w:rPr>
          <w:rFonts w:hint="eastAsia" w:eastAsia="仿宋_GB2312"/>
          <w:sz w:val="32"/>
          <w:szCs w:val="32"/>
        </w:rPr>
        <w:t xml:space="preserve">       5、定期向上馺主管部门报告环境质量状况；配合上级环境监测部门的工作。</w:t>
      </w:r>
    </w:p>
    <w:p>
      <w:pPr>
        <w:ind w:firstLine="640" w:firstLineChars="200"/>
        <w:rPr>
          <w:rFonts w:eastAsia="仿宋_GB2312"/>
          <w:sz w:val="32"/>
          <w:szCs w:val="32"/>
        </w:rPr>
      </w:pPr>
      <w:r>
        <w:rPr>
          <w:rFonts w:hint="eastAsia" w:eastAsia="仿宋_GB2312"/>
          <w:sz w:val="32"/>
          <w:szCs w:val="32"/>
        </w:rPr>
        <w:t>6、编制全区环境监测年鉴，参与编写全区环境质量报告书，发布有关环境质量状况公报。</w:t>
      </w:r>
    </w:p>
    <w:p>
      <w:pPr>
        <w:ind w:firstLine="640" w:firstLineChars="200"/>
        <w:rPr>
          <w:rFonts w:eastAsia="仿宋_GB2312"/>
          <w:sz w:val="32"/>
          <w:szCs w:val="32"/>
        </w:rPr>
      </w:pPr>
      <w:r>
        <w:rPr>
          <w:rFonts w:hint="eastAsia" w:eastAsia="仿宋_GB2312"/>
          <w:sz w:val="32"/>
          <w:szCs w:val="32"/>
        </w:rPr>
        <w:t>7、依法对全区辖区内污染排放污染情况及单位或个人执行环境保护法律法规的情况现场监督、检查并参与处理。</w:t>
      </w:r>
    </w:p>
    <w:p>
      <w:pPr>
        <w:ind w:firstLine="640" w:firstLineChars="200"/>
        <w:rPr>
          <w:rFonts w:eastAsia="仿宋_GB2312"/>
          <w:sz w:val="32"/>
          <w:szCs w:val="32"/>
        </w:rPr>
      </w:pPr>
      <w:r>
        <w:rPr>
          <w:rFonts w:hint="eastAsia" w:eastAsia="仿宋_GB2312"/>
          <w:sz w:val="32"/>
          <w:szCs w:val="32"/>
        </w:rPr>
        <w:t>8、负责山南市下放权限的污水、废气、固体废弃物、噪声等排污费的征收工作。</w:t>
      </w:r>
    </w:p>
    <w:p>
      <w:pPr>
        <w:ind w:firstLine="640" w:firstLineChars="200"/>
        <w:rPr>
          <w:rFonts w:eastAsia="仿宋_GB2312"/>
          <w:sz w:val="32"/>
          <w:szCs w:val="32"/>
        </w:rPr>
      </w:pPr>
      <w:r>
        <w:rPr>
          <w:rFonts w:hint="eastAsia" w:eastAsia="仿宋_GB2312"/>
          <w:sz w:val="32"/>
          <w:szCs w:val="32"/>
        </w:rPr>
        <w:t>9、依法对建设项目“环评”、“三同时”制度执行，限期治理，重点污染源等项目进行监督检查。</w:t>
      </w:r>
    </w:p>
    <w:p>
      <w:pPr>
        <w:ind w:firstLine="640" w:firstLineChars="200"/>
        <w:rPr>
          <w:rFonts w:eastAsia="仿宋_GB2312"/>
          <w:sz w:val="32"/>
          <w:szCs w:val="32"/>
        </w:rPr>
      </w:pPr>
      <w:r>
        <w:rPr>
          <w:rFonts w:hint="eastAsia" w:eastAsia="仿宋_GB2312"/>
          <w:sz w:val="32"/>
          <w:szCs w:val="32"/>
        </w:rPr>
        <w:t>10、负责排污财务管理和排污费财务、统计报表的报表的编报汇审工作。</w:t>
      </w:r>
    </w:p>
    <w:p>
      <w:pPr>
        <w:ind w:firstLine="640" w:firstLineChars="200"/>
        <w:rPr>
          <w:rFonts w:eastAsia="仿宋_GB2312"/>
          <w:sz w:val="32"/>
          <w:szCs w:val="32"/>
        </w:rPr>
      </w:pPr>
      <w:r>
        <w:rPr>
          <w:rFonts w:hint="eastAsia" w:eastAsia="仿宋_GB2312"/>
          <w:sz w:val="32"/>
          <w:szCs w:val="32"/>
        </w:rPr>
        <w:t>11、参与环境污染事故、污染纠纷及生态破坏事件调查处理。</w:t>
      </w:r>
    </w:p>
    <w:p>
      <w:pPr>
        <w:ind w:firstLine="640" w:firstLineChars="200"/>
        <w:rPr>
          <w:rFonts w:eastAsia="仿宋_GB2312"/>
          <w:sz w:val="32"/>
          <w:szCs w:val="32"/>
        </w:rPr>
      </w:pPr>
      <w:r>
        <w:rPr>
          <w:rFonts w:hint="eastAsia" w:eastAsia="仿宋_GB2312"/>
          <w:sz w:val="32"/>
          <w:szCs w:val="32"/>
        </w:rPr>
        <w:t>12、承担区委、政府及区环境保护局交办的其他事项。</w:t>
      </w:r>
    </w:p>
    <w:p>
      <w:pPr>
        <w:numPr>
          <w:ilvl w:val="0"/>
          <w:numId w:val="2"/>
        </w:numPr>
        <w:ind w:left="640"/>
        <w:jc w:val="left"/>
        <w:rPr>
          <w:rFonts w:ascii="宋体" w:hAnsi="宋体"/>
          <w:b/>
          <w:sz w:val="32"/>
        </w:rPr>
      </w:pPr>
      <w:r>
        <w:rPr>
          <w:rFonts w:hint="eastAsia" w:ascii="宋体" w:hAnsi="宋体"/>
          <w:b/>
          <w:sz w:val="32"/>
        </w:rPr>
        <w:t>部门机构设置。</w:t>
      </w:r>
    </w:p>
    <w:p>
      <w:pPr>
        <w:jc w:val="left"/>
        <w:rPr>
          <w:rFonts w:ascii="宋体" w:hAnsi="宋体"/>
          <w:bCs/>
          <w:sz w:val="32"/>
        </w:rPr>
      </w:pPr>
      <w:r>
        <w:rPr>
          <w:rFonts w:hint="eastAsia" w:ascii="宋体" w:hAnsi="宋体"/>
          <w:bCs/>
          <w:sz w:val="32"/>
        </w:rPr>
        <w:t xml:space="preserve"> 乃东区环境保护不设内设机构。</w:t>
      </w:r>
    </w:p>
    <w:p>
      <w:pPr>
        <w:jc w:val="left"/>
        <w:rPr>
          <w:bCs/>
          <w:sz w:val="24"/>
        </w:rPr>
      </w:pPr>
    </w:p>
    <w:p>
      <w:pPr>
        <w:jc w:val="left"/>
        <w:rPr>
          <w:bCs/>
          <w:sz w:val="24"/>
        </w:rPr>
      </w:pPr>
    </w:p>
    <w:p>
      <w:pPr>
        <w:jc w:val="left"/>
        <w:rPr>
          <w:sz w:val="24"/>
        </w:rPr>
      </w:pPr>
    </w:p>
    <w:p>
      <w:pPr>
        <w:jc w:val="left"/>
        <w:rPr>
          <w:sz w:val="24"/>
        </w:rPr>
      </w:pPr>
    </w:p>
    <w:p>
      <w:pPr>
        <w:jc w:val="left"/>
        <w:rPr>
          <w:sz w:val="24"/>
        </w:rPr>
      </w:pPr>
    </w:p>
    <w:p>
      <w:pPr>
        <w:jc w:val="left"/>
        <w:rPr>
          <w:sz w:val="24"/>
        </w:rPr>
      </w:pPr>
    </w:p>
    <w:p>
      <w:pPr>
        <w:jc w:val="left"/>
        <w:rPr>
          <w:sz w:val="24"/>
        </w:rPr>
        <w:sectPr>
          <w:footerReference r:id="rId5" w:type="default"/>
          <w:pgSz w:w="11900" w:h="16838"/>
          <w:pgMar w:top="1440" w:right="1640" w:bottom="732" w:left="1800" w:header="720" w:footer="720" w:gutter="0"/>
          <w:pgNumType w:start="1"/>
          <w:cols w:equalWidth="0" w:num="1">
            <w:col w:w="8460"/>
          </w:cols>
        </w:sectPr>
      </w:pPr>
    </w:p>
    <w:p>
      <w:pPr>
        <w:spacing w:line="576" w:lineRule="exact"/>
        <w:ind w:firstLine="640" w:firstLineChars="200"/>
        <w:jc w:val="left"/>
        <w:rPr>
          <w:rFonts w:ascii="仿宋" w:hAnsi="仿宋" w:eastAsia="仿宋" w:cs="仿宋"/>
          <w:sz w:val="32"/>
          <w:szCs w:val="32"/>
        </w:rPr>
      </w:pPr>
    </w:p>
    <w:p>
      <w:pPr>
        <w:rPr>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w:t>
      </w:r>
      <w:r>
        <w:rPr>
          <w:rFonts w:hint="eastAsia" w:ascii="方正小标宋简体" w:hAnsi="方正小标宋简体" w:eastAsia="方正小标宋简体" w:cs="方正小标宋简体"/>
          <w:sz w:val="72"/>
          <w:szCs w:val="72"/>
          <w:lang w:eastAsia="zh-CN"/>
        </w:rPr>
        <w:t>环保局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6" w:type="default"/>
          <w:pgSz w:w="11906" w:h="16838"/>
          <w:pgMar w:top="1440" w:right="1800" w:bottom="1440" w:left="1800" w:header="851" w:footer="992" w:gutter="0"/>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6"/>
        <w:gridCol w:w="1742"/>
        <w:gridCol w:w="1377"/>
        <w:gridCol w:w="694"/>
        <w:gridCol w:w="226"/>
        <w:gridCol w:w="1234"/>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7"/>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18"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377"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4"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41" w:type="dxa"/>
            <w:gridSpan w:val="3"/>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18"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912" w:type="dxa"/>
            <w:gridSpan w:val="5"/>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11,318,270.00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十、节能环保支出</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11,132,270.00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11,132,270.00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186,000.00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186,000.00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11,318,270.00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11,318,270.00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11,318,270.00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0"/>
        <w:gridCol w:w="1471"/>
        <w:gridCol w:w="1395"/>
        <w:gridCol w:w="1290"/>
        <w:gridCol w:w="1395"/>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11,132,270.00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环境保护管理事务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8,932,270.00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2110101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2110105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环境保护法规、规划及标准</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2110199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其他环境保护管理事务支出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7,770,000.00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自然生态保护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2110401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生态保护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2130135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农业资源保护修复与利用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11,318,270.00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10,186,000.00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8"/>
        <w:gridCol w:w="1416"/>
        <w:gridCol w:w="1483"/>
        <w:gridCol w:w="1291"/>
        <w:gridCol w:w="1471"/>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shd w:val="clear" w:color="auto" w:fill="auto"/>
            <w:vAlign w:val="center"/>
          </w:tcPr>
          <w:p>
            <w:pPr>
              <w:jc w:val="both"/>
              <w:rPr>
                <w:rFonts w:hint="eastAsia" w:ascii="宋体" w:hAnsi="宋体" w:eastAsia="宋体" w:cs="宋体"/>
                <w:i w:val="0"/>
                <w:color w:val="000000"/>
                <w:sz w:val="21"/>
                <w:szCs w:val="21"/>
                <w:u w:val="none"/>
              </w:rPr>
            </w:pPr>
          </w:p>
        </w:tc>
        <w:tc>
          <w:tcPr>
            <w:tcW w:w="1416" w:type="dxa"/>
            <w:shd w:val="clear" w:color="auto" w:fill="auto"/>
            <w:vAlign w:val="center"/>
          </w:tcPr>
          <w:p>
            <w:pPr>
              <w:rPr>
                <w:rFonts w:hint="eastAsia" w:ascii="宋体" w:hAnsi="宋体" w:eastAsia="宋体" w:cs="宋体"/>
                <w:i w:val="0"/>
                <w:color w:val="000000"/>
                <w:sz w:val="22"/>
                <w:szCs w:val="22"/>
                <w:u w:val="none"/>
              </w:rPr>
            </w:pPr>
          </w:p>
        </w:tc>
        <w:tc>
          <w:tcPr>
            <w:tcW w:w="1483" w:type="dxa"/>
            <w:shd w:val="clear" w:color="auto" w:fill="auto"/>
            <w:vAlign w:val="center"/>
          </w:tcPr>
          <w:p>
            <w:pPr>
              <w:rPr>
                <w:rFonts w:hint="eastAsia" w:ascii="宋体" w:hAnsi="宋体" w:eastAsia="宋体" w:cs="宋体"/>
                <w:i w:val="0"/>
                <w:color w:val="000000"/>
                <w:sz w:val="22"/>
                <w:szCs w:val="22"/>
                <w:u w:val="none"/>
              </w:rPr>
            </w:pPr>
          </w:p>
        </w:tc>
        <w:tc>
          <w:tcPr>
            <w:tcW w:w="1291" w:type="dxa"/>
            <w:shd w:val="clear" w:color="auto" w:fill="auto"/>
            <w:vAlign w:val="center"/>
          </w:tcPr>
          <w:p>
            <w:pPr>
              <w:rPr>
                <w:rFonts w:hint="eastAsia" w:ascii="宋体" w:hAnsi="宋体" w:eastAsia="宋体" w:cs="宋体"/>
                <w:i w:val="0"/>
                <w:color w:val="000000"/>
                <w:sz w:val="22"/>
                <w:szCs w:val="22"/>
                <w:u w:val="none"/>
              </w:rPr>
            </w:pPr>
          </w:p>
        </w:tc>
        <w:tc>
          <w:tcPr>
            <w:tcW w:w="2752"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920,204.50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920,204.50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217,638.00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217,638.00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686,757.50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686,757.50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15,809.00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15,809.00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149,793.50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149,793.50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29,370.00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29,370.00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44,597.00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44,597.00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27,594.50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27,594.50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7,236.00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7,236.00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6"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17,366.00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17,366.00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62,272.00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62,272.00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62,272.00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62,272.00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1,132,270.00 </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982,476.50 </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149,793.50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p/>
    <w:p/>
    <w:p/>
    <w:p/>
    <w:p/>
    <w:p/>
    <w:p/>
    <w:p/>
    <w:p/>
    <w:tbl>
      <w:tblPr>
        <w:tblStyle w:val="6"/>
        <w:tblW w:w="926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349"/>
        <w:gridCol w:w="1014"/>
        <w:gridCol w:w="485"/>
        <w:gridCol w:w="827"/>
        <w:gridCol w:w="388"/>
        <w:gridCol w:w="1103"/>
        <w:gridCol w:w="518"/>
        <w:gridCol w:w="84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8159"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49" w:type="dxa"/>
            <w:shd w:val="clear" w:color="auto" w:fill="auto"/>
            <w:vAlign w:val="center"/>
          </w:tcPr>
          <w:p>
            <w:pPr>
              <w:rPr>
                <w:rFonts w:hint="eastAsia" w:ascii="宋体" w:hAnsi="宋体" w:eastAsia="宋体" w:cs="宋体"/>
                <w:i w:val="0"/>
                <w:color w:val="000000"/>
                <w:sz w:val="22"/>
                <w:szCs w:val="22"/>
                <w:u w:val="none"/>
              </w:rPr>
            </w:pPr>
          </w:p>
        </w:tc>
        <w:tc>
          <w:tcPr>
            <w:tcW w:w="1014" w:type="dxa"/>
            <w:shd w:val="clear" w:color="auto" w:fill="auto"/>
            <w:vAlign w:val="center"/>
          </w:tcPr>
          <w:p>
            <w:pPr>
              <w:rPr>
                <w:rFonts w:hint="eastAsia" w:ascii="宋体" w:hAnsi="宋体" w:eastAsia="宋体" w:cs="宋体"/>
                <w:i w:val="0"/>
                <w:color w:val="000000"/>
                <w:sz w:val="22"/>
                <w:szCs w:val="22"/>
                <w:u w:val="none"/>
              </w:rPr>
            </w:pPr>
          </w:p>
        </w:tc>
        <w:tc>
          <w:tcPr>
            <w:tcW w:w="485" w:type="dxa"/>
            <w:shd w:val="clear" w:color="auto" w:fill="auto"/>
            <w:vAlign w:val="center"/>
          </w:tcPr>
          <w:p>
            <w:pPr>
              <w:rPr>
                <w:rFonts w:hint="eastAsia" w:ascii="宋体" w:hAnsi="宋体" w:eastAsia="宋体" w:cs="宋体"/>
                <w:i w:val="0"/>
                <w:color w:val="000000"/>
                <w:sz w:val="22"/>
                <w:szCs w:val="22"/>
                <w:u w:val="none"/>
              </w:rPr>
            </w:pPr>
          </w:p>
        </w:tc>
        <w:tc>
          <w:tcPr>
            <w:tcW w:w="827"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518" w:type="dxa"/>
            <w:shd w:val="clear" w:color="auto" w:fill="auto"/>
            <w:vAlign w:val="center"/>
          </w:tcPr>
          <w:p>
            <w:pPr>
              <w:rPr>
                <w:rFonts w:hint="eastAsia" w:ascii="宋体" w:hAnsi="宋体" w:eastAsia="宋体" w:cs="宋体"/>
                <w:i w:val="0"/>
                <w:color w:val="000000"/>
                <w:sz w:val="22"/>
                <w:szCs w:val="22"/>
                <w:u w:val="none"/>
              </w:rPr>
            </w:pPr>
          </w:p>
        </w:tc>
        <w:tc>
          <w:tcPr>
            <w:tcW w:w="1985"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44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15,500.00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15,000.00 </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15,000.00</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15,500.00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15000.00 </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15,000.00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69"/>
        <w:gridCol w:w="3027"/>
        <w:gridCol w:w="97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869"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27"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74"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46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69" w:type="dxa"/>
            <w:shd w:val="clear" w:color="auto" w:fill="auto"/>
            <w:vAlign w:val="center"/>
          </w:tcPr>
          <w:p>
            <w:pPr>
              <w:jc w:val="left"/>
              <w:rPr>
                <w:rFonts w:hint="eastAsia" w:ascii="宋体" w:hAnsi="宋体" w:eastAsia="宋体" w:cs="宋体"/>
                <w:i w:val="0"/>
                <w:color w:val="000000"/>
                <w:sz w:val="21"/>
                <w:szCs w:val="21"/>
                <w:u w:val="none"/>
              </w:rPr>
            </w:pPr>
          </w:p>
        </w:tc>
        <w:tc>
          <w:tcPr>
            <w:tcW w:w="3027" w:type="dxa"/>
            <w:shd w:val="clear" w:color="auto" w:fill="auto"/>
            <w:vAlign w:val="center"/>
          </w:tcPr>
          <w:p>
            <w:pPr>
              <w:rPr>
                <w:rFonts w:hint="eastAsia" w:ascii="宋体" w:hAnsi="宋体" w:eastAsia="宋体" w:cs="宋体"/>
                <w:i w:val="0"/>
                <w:color w:val="000000"/>
                <w:sz w:val="22"/>
                <w:szCs w:val="22"/>
                <w:u w:val="none"/>
              </w:rPr>
            </w:pPr>
          </w:p>
        </w:tc>
        <w:tc>
          <w:tcPr>
            <w:tcW w:w="974" w:type="dxa"/>
            <w:shd w:val="clear" w:color="auto" w:fill="auto"/>
            <w:vAlign w:val="center"/>
          </w:tcPr>
          <w:p>
            <w:pPr>
              <w:rPr>
                <w:rFonts w:hint="eastAsia" w:ascii="宋体" w:hAnsi="宋体" w:eastAsia="宋体" w:cs="宋体"/>
                <w:i w:val="0"/>
                <w:color w:val="000000"/>
                <w:sz w:val="22"/>
                <w:szCs w:val="22"/>
                <w:u w:val="none"/>
              </w:rPr>
            </w:pPr>
          </w:p>
        </w:tc>
        <w:tc>
          <w:tcPr>
            <w:tcW w:w="14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11,318,270.00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11,132,270.00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186,000.00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center"/>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11,318,270.00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11,318,270.00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 xml:space="preserve">11,318,270.00 </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11,318,270.00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11,318,270.00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十、节能环保支出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11,132,270.00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十二、农林水支出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186,000.00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tbl>
      <w:tblPr>
        <w:tblStyle w:val="6"/>
        <w:tblW w:w="9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1559"/>
        <w:gridCol w:w="1095"/>
        <w:gridCol w:w="570"/>
        <w:gridCol w:w="1006"/>
        <w:gridCol w:w="668"/>
        <w:gridCol w:w="444"/>
        <w:gridCol w:w="444"/>
        <w:gridCol w:w="444"/>
        <w:gridCol w:w="444"/>
        <w:gridCol w:w="445"/>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9336"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559" w:type="dxa"/>
            <w:shd w:val="clear" w:color="auto" w:fill="auto"/>
            <w:vAlign w:val="center"/>
          </w:tcPr>
          <w:p>
            <w:pPr>
              <w:rPr>
                <w:rFonts w:hint="eastAsia" w:ascii="宋体" w:hAnsi="宋体" w:eastAsia="宋体" w:cs="宋体"/>
                <w:i w:val="0"/>
                <w:color w:val="000000"/>
                <w:sz w:val="22"/>
                <w:szCs w:val="22"/>
                <w:u w:val="none"/>
              </w:rPr>
            </w:pPr>
          </w:p>
        </w:tc>
        <w:tc>
          <w:tcPr>
            <w:tcW w:w="1095" w:type="dxa"/>
            <w:shd w:val="clear" w:color="auto" w:fill="auto"/>
            <w:vAlign w:val="center"/>
          </w:tcPr>
          <w:p>
            <w:pPr>
              <w:rPr>
                <w:rFonts w:hint="eastAsia" w:ascii="宋体" w:hAnsi="宋体" w:eastAsia="宋体" w:cs="宋体"/>
                <w:i w:val="0"/>
                <w:color w:val="000000"/>
                <w:sz w:val="22"/>
                <w:szCs w:val="22"/>
                <w:u w:val="none"/>
              </w:rPr>
            </w:pPr>
          </w:p>
        </w:tc>
        <w:tc>
          <w:tcPr>
            <w:tcW w:w="570" w:type="dxa"/>
            <w:shd w:val="clear" w:color="auto" w:fill="auto"/>
            <w:vAlign w:val="center"/>
          </w:tcPr>
          <w:p>
            <w:pPr>
              <w:rPr>
                <w:rFonts w:hint="eastAsia" w:ascii="宋体" w:hAnsi="宋体" w:eastAsia="宋体" w:cs="宋体"/>
                <w:i w:val="0"/>
                <w:color w:val="000000"/>
                <w:sz w:val="22"/>
                <w:szCs w:val="22"/>
                <w:u w:val="none"/>
              </w:rPr>
            </w:pPr>
          </w:p>
        </w:tc>
        <w:tc>
          <w:tcPr>
            <w:tcW w:w="1006" w:type="dxa"/>
            <w:shd w:val="clear" w:color="auto" w:fill="auto"/>
            <w:vAlign w:val="center"/>
          </w:tcPr>
          <w:p>
            <w:pPr>
              <w:rPr>
                <w:rFonts w:hint="eastAsia" w:ascii="宋体" w:hAnsi="宋体" w:eastAsia="宋体" w:cs="宋体"/>
                <w:i w:val="0"/>
                <w:color w:val="000000"/>
                <w:sz w:val="22"/>
                <w:szCs w:val="22"/>
                <w:u w:val="none"/>
              </w:rPr>
            </w:pPr>
          </w:p>
        </w:tc>
        <w:tc>
          <w:tcPr>
            <w:tcW w:w="668" w:type="dxa"/>
            <w:shd w:val="clear" w:color="auto" w:fill="auto"/>
            <w:vAlign w:val="center"/>
          </w:tcPr>
          <w:p>
            <w:pPr>
              <w:rPr>
                <w:rFonts w:hint="eastAsia" w:ascii="宋体" w:hAnsi="宋体" w:eastAsia="宋体" w:cs="宋体"/>
                <w:i w:val="0"/>
                <w:color w:val="000000"/>
                <w:sz w:val="22"/>
                <w:szCs w:val="22"/>
                <w:u w:val="none"/>
              </w:rPr>
            </w:pPr>
          </w:p>
        </w:tc>
        <w:tc>
          <w:tcPr>
            <w:tcW w:w="444" w:type="dxa"/>
            <w:shd w:val="clear" w:color="auto" w:fill="auto"/>
            <w:vAlign w:val="center"/>
          </w:tcPr>
          <w:p>
            <w:pPr>
              <w:rPr>
                <w:rFonts w:hint="eastAsia" w:ascii="宋体" w:hAnsi="宋体" w:eastAsia="宋体" w:cs="宋体"/>
                <w:i w:val="0"/>
                <w:color w:val="000000"/>
                <w:sz w:val="22"/>
                <w:szCs w:val="22"/>
                <w:u w:val="none"/>
              </w:rPr>
            </w:pPr>
          </w:p>
        </w:tc>
        <w:tc>
          <w:tcPr>
            <w:tcW w:w="444" w:type="dxa"/>
            <w:shd w:val="clear" w:color="auto" w:fill="auto"/>
            <w:vAlign w:val="center"/>
          </w:tcPr>
          <w:p>
            <w:pPr>
              <w:rPr>
                <w:rFonts w:hint="eastAsia" w:ascii="宋体" w:hAnsi="宋体" w:eastAsia="宋体" w:cs="宋体"/>
                <w:i w:val="0"/>
                <w:color w:val="000000"/>
                <w:sz w:val="22"/>
                <w:szCs w:val="22"/>
                <w:u w:val="none"/>
              </w:rPr>
            </w:pPr>
          </w:p>
        </w:tc>
        <w:tc>
          <w:tcPr>
            <w:tcW w:w="444" w:type="dxa"/>
            <w:shd w:val="clear" w:color="auto" w:fill="auto"/>
            <w:vAlign w:val="center"/>
          </w:tcPr>
          <w:p>
            <w:pPr>
              <w:rPr>
                <w:rFonts w:hint="eastAsia" w:ascii="宋体" w:hAnsi="宋体" w:eastAsia="宋体" w:cs="宋体"/>
                <w:i w:val="0"/>
                <w:color w:val="000000"/>
                <w:sz w:val="22"/>
                <w:szCs w:val="22"/>
                <w:u w:val="none"/>
              </w:rPr>
            </w:pPr>
          </w:p>
        </w:tc>
        <w:tc>
          <w:tcPr>
            <w:tcW w:w="444" w:type="dxa"/>
            <w:shd w:val="clear" w:color="auto" w:fill="auto"/>
            <w:vAlign w:val="center"/>
          </w:tcPr>
          <w:p>
            <w:pPr>
              <w:rPr>
                <w:rFonts w:hint="eastAsia" w:ascii="宋体" w:hAnsi="宋体" w:eastAsia="宋体" w:cs="宋体"/>
                <w:i w:val="0"/>
                <w:color w:val="000000"/>
                <w:sz w:val="22"/>
                <w:szCs w:val="22"/>
                <w:u w:val="none"/>
              </w:rPr>
            </w:pPr>
          </w:p>
        </w:tc>
        <w:tc>
          <w:tcPr>
            <w:tcW w:w="1897"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2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11,132,270.00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11,132,270.00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8,932,270.00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8,932,270.00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2110101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2110105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环境保护法规、规划及标准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2110199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其他环境保护管理事务支出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7,770,000.00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7,770,000.00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自然生态保护</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2110401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生态保护</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2130135</w:t>
            </w:r>
          </w:p>
        </w:tc>
        <w:tc>
          <w:tcPr>
            <w:tcW w:w="155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农业资源保护修复与利用</w:t>
            </w:r>
          </w:p>
        </w:tc>
        <w:tc>
          <w:tcPr>
            <w:tcW w:w="10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570"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668"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324"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11,318,270.00</w:t>
            </w:r>
          </w:p>
        </w:tc>
        <w:tc>
          <w:tcPr>
            <w:tcW w:w="57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11,318,270.00</w:t>
            </w:r>
          </w:p>
        </w:tc>
        <w:tc>
          <w:tcPr>
            <w:tcW w:w="66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44"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4"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5"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8"/>
        <w:gridCol w:w="1203"/>
        <w:gridCol w:w="1395"/>
        <w:gridCol w:w="1290"/>
        <w:gridCol w:w="1395"/>
        <w:gridCol w:w="424"/>
        <w:gridCol w:w="719"/>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0" w:type="dxa"/>
            <w:gridSpan w:val="8"/>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98" w:type="dxa"/>
            <w:shd w:val="clear" w:color="auto" w:fill="auto"/>
            <w:vAlign w:val="center"/>
          </w:tcPr>
          <w:p>
            <w:pPr>
              <w:jc w:val="left"/>
              <w:rPr>
                <w:rFonts w:hint="eastAsia" w:ascii="宋体" w:hAnsi="宋体" w:eastAsia="宋体" w:cs="宋体"/>
                <w:i w:val="0"/>
                <w:color w:val="000000"/>
                <w:sz w:val="21"/>
                <w:szCs w:val="21"/>
                <w:u w:val="none"/>
              </w:rPr>
            </w:pPr>
          </w:p>
        </w:tc>
        <w:tc>
          <w:tcPr>
            <w:tcW w:w="1203" w:type="dxa"/>
            <w:shd w:val="clear" w:color="auto" w:fill="auto"/>
            <w:vAlign w:val="center"/>
          </w:tcPr>
          <w:p>
            <w:pPr>
              <w:rPr>
                <w:rFonts w:hint="eastAsia" w:ascii="宋体" w:hAnsi="宋体" w:eastAsia="宋体" w:cs="宋体"/>
                <w:i w:val="0"/>
                <w:color w:val="000000"/>
                <w:sz w:val="22"/>
                <w:szCs w:val="22"/>
                <w:u w:val="none"/>
              </w:rPr>
            </w:pPr>
          </w:p>
        </w:tc>
        <w:tc>
          <w:tcPr>
            <w:tcW w:w="1395"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1395" w:type="dxa"/>
            <w:shd w:val="clear" w:color="auto" w:fill="auto"/>
            <w:vAlign w:val="center"/>
          </w:tcPr>
          <w:p>
            <w:pPr>
              <w:rPr>
                <w:rFonts w:hint="eastAsia" w:ascii="宋体" w:hAnsi="宋体" w:eastAsia="宋体" w:cs="宋体"/>
                <w:i w:val="0"/>
                <w:color w:val="000000"/>
                <w:sz w:val="22"/>
                <w:szCs w:val="22"/>
                <w:u w:val="none"/>
              </w:rPr>
            </w:pPr>
          </w:p>
        </w:tc>
        <w:tc>
          <w:tcPr>
            <w:tcW w:w="424" w:type="dxa"/>
            <w:shd w:val="clear" w:color="auto" w:fill="auto"/>
            <w:vAlign w:val="center"/>
          </w:tcPr>
          <w:p>
            <w:pPr>
              <w:rPr>
                <w:rFonts w:hint="eastAsia" w:ascii="宋体" w:hAnsi="宋体" w:eastAsia="宋体" w:cs="宋体"/>
                <w:i w:val="0"/>
                <w:color w:val="000000"/>
                <w:sz w:val="22"/>
                <w:szCs w:val="22"/>
                <w:u w:val="none"/>
              </w:rPr>
            </w:pPr>
          </w:p>
        </w:tc>
        <w:tc>
          <w:tcPr>
            <w:tcW w:w="1825"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11,132,270.00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环境保护管理事务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8,932,270.00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2110101</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2110105</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环境保护法规、规划及标准</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2110199</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其他环境保护管理事务支出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7,770,000.00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21104</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自然生态保护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2110401</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生态保护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2130135</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农业资源保护修复与利用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11,318,270.00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1,132,270.00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10,186,000.00</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乃东区</w:t>
      </w:r>
      <w:r>
        <w:rPr>
          <w:rFonts w:hint="eastAsia" w:ascii="方正小标宋简体" w:hAnsi="方正小标宋简体" w:eastAsia="方正小标宋简体" w:cs="方正小标宋简体"/>
          <w:sz w:val="56"/>
          <w:szCs w:val="56"/>
          <w:lang w:eastAsia="zh-CN"/>
        </w:rPr>
        <w:t>环保局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节能环保支出11132270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186000元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元，上年一般公共预算财政拨款支出30184614.5元，比上年同期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18866344.5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节能环保支出11132270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98.36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186000元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1.64</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节能环保支出11132270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环境保护管理事务</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8932270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1132270</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920204.5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149793.5</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62272</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环境保护法规、规划及标准</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30000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）其他环境保护管理事务支出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7770000元。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2、自然生态保护2200000元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（1）生态保护2200000元。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农林水支出186000元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1、农业支出186000元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（1）农业资源保护修复与利用支出186000元。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1132270</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920204.5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81.27</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149793.5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13.23</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62272</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5.5</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15500</w:t>
      </w:r>
      <w:r>
        <w:rPr>
          <w:rFonts w:hint="eastAsia" w:ascii="仿宋_GB2312" w:hAnsi="仿宋_GB2312" w:eastAsia="仿宋_GB2312" w:cs="仿宋_GB2312"/>
          <w:color w:val="000000" w:themeColor="text1"/>
          <w:sz w:val="32"/>
          <w:szCs w:val="26"/>
          <w14:textFill>
            <w14:solidFill>
              <w14:schemeClr w14:val="tx1"/>
            </w14:solidFill>
          </w14:textFill>
        </w:rPr>
        <w:t>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三公经费决算支出35641.67万，同比减少20141.67元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w:t>
      </w:r>
      <w:r>
        <w:rPr>
          <w:rFonts w:hint="eastAsia" w:ascii="仿宋_GB2312" w:hAnsi="仿宋_GB2312" w:eastAsia="仿宋_GB2312" w:cs="仿宋_GB2312"/>
          <w:color w:val="000000" w:themeColor="text1"/>
          <w:sz w:val="32"/>
          <w:szCs w:val="26"/>
          <w14:textFill>
            <w14:solidFill>
              <w14:schemeClr w14:val="tx1"/>
            </w14:solidFill>
          </w14:textFill>
        </w:rPr>
        <w:t>元,比上年</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15000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15000</w:t>
      </w:r>
      <w:r>
        <w:rPr>
          <w:rFonts w:hint="eastAsia" w:ascii="仿宋_GB2312" w:hAnsi="仿宋_GB2312" w:eastAsia="仿宋_GB2312" w:cs="仿宋_GB2312"/>
          <w:color w:val="000000" w:themeColor="text1"/>
          <w:sz w:val="32"/>
          <w:szCs w:val="26"/>
          <w14:textFill>
            <w14:solidFill>
              <w14:schemeClr w14:val="tx1"/>
            </w14:solidFill>
          </w14:textFill>
        </w:rPr>
        <w:t>元，上年支出35041.67元，比上年</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20041.67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节能环保</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11132270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186000元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11318270</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微软雅黑" w:hAnsi="微软雅黑" w:eastAsia="仿宋"/>
          <w:color w:val="000000" w:themeColor="text1"/>
          <w:sz w:val="32"/>
          <w:szCs w:val="26"/>
          <w14:textFill>
            <w14:solidFill>
              <w14:schemeClr w14:val="tx1"/>
            </w14:solidFill>
          </w14:textFill>
        </w:rPr>
        <w:t>　</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bookmarkStart w:id="1" w:name="_GoBack"/>
      <w:bookmarkEnd w:id="1"/>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7"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X&#10;s7YQtwEAAFQDAAAOAAAAAAAAAAEAIAAAAB4BAABkcnMvZTJvRG9jLnhtbFBLBQYAAAAABgAGAFkB&#10;AABH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9pbLgBAABUAwAADgAAAGRycy9lMm9Eb2MueG1srVNLbtswEN0H6B0I&#10;7mvJR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ip9pbLgBAABUAwAADgAAAAAAAAABACAAAAAeAQAAZHJzL2Uyb0RvYy54bWxQSwUGAAAAAAYABgBZ&#10;AQAAS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62D9"/>
    <w:multiLevelType w:val="singleLevel"/>
    <w:tmpl w:val="59B262D9"/>
    <w:lvl w:ilvl="0" w:tentative="0">
      <w:start w:val="2"/>
      <w:numFmt w:val="chineseCounting"/>
      <w:suff w:val="nothing"/>
      <w:lvlText w:val="（%1）"/>
      <w:lvlJc w:val="left"/>
      <w:rPr>
        <w:rFonts w:hint="eastAsia"/>
      </w:rPr>
    </w:lvl>
  </w:abstractNum>
  <w:abstractNum w:abstractNumId="1">
    <w:nsid w:val="5AFBE2D1"/>
    <w:multiLevelType w:val="singleLevel"/>
    <w:tmpl w:val="5AFBE2D1"/>
    <w:lvl w:ilvl="0" w:tentative="0">
      <w:start w:val="1"/>
      <w:numFmt w:val="chineseCounting"/>
      <w:suff w:val="nothing"/>
      <w:lvlText w:val="第%1部"/>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5916A36"/>
    <w:rsid w:val="0F677452"/>
    <w:rsid w:val="121F5A57"/>
    <w:rsid w:val="13F106A8"/>
    <w:rsid w:val="1D9E79D6"/>
    <w:rsid w:val="26E57E8B"/>
    <w:rsid w:val="396D5533"/>
    <w:rsid w:val="3EE36A25"/>
    <w:rsid w:val="43603CEB"/>
    <w:rsid w:val="44890A8C"/>
    <w:rsid w:val="45222F42"/>
    <w:rsid w:val="461360DA"/>
    <w:rsid w:val="48B676D7"/>
    <w:rsid w:val="4B020017"/>
    <w:rsid w:val="609D6910"/>
    <w:rsid w:val="66516B3F"/>
    <w:rsid w:val="699A1B94"/>
    <w:rsid w:val="6C92316B"/>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18</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2018-12-28T02:40:14Z</cp:lastPrinted>
  <dcterms:modified xsi:type="dcterms:W3CDTF">2018-12-28T03:06:22Z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