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jc w:val="center"/>
        <w:rPr>
          <w:rFonts w:hint="eastAsia"/>
          <w:sz w:val="44"/>
          <w:szCs w:val="44"/>
        </w:rPr>
      </w:pPr>
    </w:p>
    <w:p>
      <w:pPr>
        <w:jc w:val="center"/>
        <w:rPr>
          <w:rFonts w:hint="eastAsia"/>
          <w:sz w:val="44"/>
          <w:szCs w:val="44"/>
        </w:rPr>
      </w:pPr>
    </w:p>
    <w:p>
      <w:pPr>
        <w:spacing w:line="640" w:lineRule="exact"/>
        <w:jc w:val="center"/>
        <w:rPr>
          <w:rFonts w:hint="eastAsia" w:ascii="黑体" w:eastAsia="黑体"/>
          <w:b/>
          <w:sz w:val="52"/>
          <w:szCs w:val="52"/>
        </w:rPr>
      </w:pPr>
    </w:p>
    <w:p>
      <w:pPr>
        <w:spacing w:line="640" w:lineRule="exact"/>
        <w:jc w:val="center"/>
        <w:rPr>
          <w:rFonts w:hint="eastAsia" w:ascii="黑体" w:eastAsia="黑体"/>
          <w:b/>
          <w:sz w:val="52"/>
          <w:szCs w:val="52"/>
        </w:rPr>
      </w:pPr>
    </w:p>
    <w:p>
      <w:pPr>
        <w:spacing w:line="640" w:lineRule="exact"/>
        <w:jc w:val="center"/>
        <w:rPr>
          <w:rFonts w:hint="eastAsia" w:ascii="黑体" w:eastAsia="黑体"/>
          <w:b/>
          <w:sz w:val="52"/>
          <w:szCs w:val="52"/>
        </w:rPr>
      </w:pPr>
      <w:r>
        <w:rPr>
          <w:rFonts w:hint="eastAsia" w:ascii="黑体" w:eastAsia="黑体"/>
          <w:b/>
          <w:sz w:val="52"/>
          <w:szCs w:val="52"/>
        </w:rPr>
        <w:t>中共山南市乃东区纪律检查委员会、监察委员会2016年度决算公开</w:t>
      </w: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rPr>
          <w:sz w:val="44"/>
          <w:szCs w:val="44"/>
        </w:rPr>
      </w:pPr>
    </w:p>
    <w:p>
      <w:pPr>
        <w:rPr>
          <w:rFonts w:hint="eastAsia"/>
          <w:sz w:val="44"/>
          <w:szCs w:val="44"/>
        </w:rPr>
      </w:pPr>
    </w:p>
    <w:p>
      <w:pPr>
        <w:rPr>
          <w:rFonts w:hint="eastAsia"/>
          <w:sz w:val="44"/>
          <w:szCs w:val="44"/>
        </w:rPr>
      </w:pPr>
    </w:p>
    <w:p>
      <w:pPr>
        <w:rPr>
          <w:rFonts w:hint="eastAsia"/>
          <w:sz w:val="44"/>
          <w:szCs w:val="44"/>
        </w:rPr>
      </w:pPr>
    </w:p>
    <w:p>
      <w:pPr>
        <w:rPr>
          <w:rFonts w:hint="eastAsia"/>
          <w:sz w:val="44"/>
          <w:szCs w:val="44"/>
        </w:rPr>
      </w:pPr>
    </w:p>
    <w:p>
      <w:pPr>
        <w:spacing w:line="460" w:lineRule="exact"/>
        <w:jc w:val="center"/>
        <w:rPr>
          <w:rFonts w:hint="eastAsia" w:ascii="宋体" w:hAnsi="宋体"/>
          <w:b/>
          <w:sz w:val="40"/>
          <w:szCs w:val="40"/>
        </w:rPr>
      </w:pPr>
      <w:r>
        <w:rPr>
          <w:rFonts w:hint="eastAsia" w:ascii="宋体" w:hAnsi="宋体"/>
          <w:b/>
          <w:sz w:val="40"/>
          <w:szCs w:val="40"/>
        </w:rPr>
        <w:t xml:space="preserve"> </w:t>
      </w:r>
    </w:p>
    <w:p>
      <w:pPr>
        <w:spacing w:line="460" w:lineRule="exact"/>
        <w:jc w:val="center"/>
        <w:rPr>
          <w:rFonts w:hint="eastAsia" w:ascii="宋体" w:hAnsi="宋体"/>
          <w:b/>
          <w:sz w:val="40"/>
          <w:szCs w:val="40"/>
        </w:rPr>
      </w:pPr>
      <w:r>
        <w:rPr>
          <w:rFonts w:hint="eastAsia" w:ascii="宋体" w:hAnsi="宋体"/>
          <w:b/>
          <w:sz w:val="40"/>
          <w:szCs w:val="40"/>
        </w:rPr>
        <w:t>目  录</w:t>
      </w:r>
    </w:p>
    <w:p>
      <w:pPr>
        <w:spacing w:line="460" w:lineRule="exact"/>
        <w:rPr>
          <w:rFonts w:hint="eastAsia" w:ascii="宋体" w:hAnsi="宋体"/>
          <w:b/>
          <w:sz w:val="40"/>
          <w:szCs w:val="40"/>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第一部分  中共山南市乃东区纪律检查委员会、监察委员会概况</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一、主要职能</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二、部门单位构成</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第二部分   中共山南市乃东区纪律检查委员会、监察委员会2016年度部门决算明细表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一、财政拨款收支总表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二、一般公共预算支出表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三、一般公共预算基本支出表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四、一般公共预算“三公”经费支出表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五、政府性基金预算支出表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六、部门收支总表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七、部门收入总表</w:t>
      </w:r>
    </w:p>
    <w:p>
      <w:pPr>
        <w:spacing w:before="312" w:beforeLines="100" w:after="312" w:afterLines="100" w:line="460" w:lineRule="exact"/>
        <w:rPr>
          <w:rFonts w:hint="eastAsia" w:ascii="方正楷体简体" w:hAnsi="宋体" w:eastAsia="方正楷体简体"/>
          <w:sz w:val="32"/>
          <w:szCs w:val="32"/>
        </w:rPr>
      </w:pPr>
      <w:r>
        <w:rPr>
          <w:rFonts w:hint="eastAsia" w:ascii="方正楷体简体" w:hAnsi="宋体" w:eastAsia="方正楷体简体"/>
          <w:sz w:val="32"/>
          <w:szCs w:val="32"/>
        </w:rPr>
        <w:t>八、部门支出总表</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第三部分  中共山南市乃东区乃东区纪律检查委员会、监察委员会2016年度部门决算情况说明</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jc w:val="center"/>
        <w:rPr>
          <w:rFonts w:hint="eastAsia" w:ascii="宋体" w:hAnsi="宋体"/>
          <w:b/>
          <w:sz w:val="40"/>
          <w:szCs w:val="40"/>
        </w:rPr>
      </w:pPr>
    </w:p>
    <w:p>
      <w:pPr>
        <w:spacing w:line="460" w:lineRule="exact"/>
        <w:rPr>
          <w:rFonts w:hint="eastAsia" w:ascii="黑体" w:hAnsi="宋体" w:eastAsia="黑体"/>
          <w:sz w:val="48"/>
          <w:szCs w:val="48"/>
        </w:rPr>
      </w:pPr>
    </w:p>
    <w:p>
      <w:pPr>
        <w:spacing w:line="460" w:lineRule="exact"/>
        <w:jc w:val="center"/>
        <w:rPr>
          <w:rFonts w:hint="eastAsia" w:ascii="黑体" w:hAnsi="宋体" w:eastAsia="黑体"/>
          <w:sz w:val="48"/>
          <w:szCs w:val="48"/>
        </w:rPr>
      </w:pPr>
      <w:r>
        <w:rPr>
          <w:rFonts w:hint="eastAsia" w:ascii="黑体" w:hAnsi="宋体" w:eastAsia="黑体"/>
          <w:sz w:val="48"/>
          <w:szCs w:val="48"/>
        </w:rPr>
        <w:t xml:space="preserve">第一部分 </w:t>
      </w:r>
    </w:p>
    <w:p>
      <w:pPr>
        <w:spacing w:line="460" w:lineRule="exact"/>
        <w:jc w:val="center"/>
        <w:rPr>
          <w:rFonts w:hint="eastAsia" w:ascii="黑体" w:hAnsi="宋体" w:eastAsia="黑体"/>
          <w:sz w:val="48"/>
          <w:szCs w:val="48"/>
        </w:rPr>
      </w:pPr>
    </w:p>
    <w:p>
      <w:pPr>
        <w:spacing w:before="312" w:beforeLines="100" w:after="312" w:afterLines="100" w:line="460" w:lineRule="exact"/>
        <w:jc w:val="center"/>
        <w:rPr>
          <w:rFonts w:hint="eastAsia" w:ascii="黑体" w:hAnsi="宋体" w:eastAsia="黑体"/>
          <w:sz w:val="48"/>
          <w:szCs w:val="48"/>
        </w:rPr>
      </w:pPr>
      <w:r>
        <w:rPr>
          <w:rFonts w:hint="eastAsia" w:ascii="黑体" w:hAnsi="宋体" w:eastAsia="黑体"/>
          <w:sz w:val="48"/>
          <w:szCs w:val="48"/>
        </w:rPr>
        <w:t>中共山南市乃东区纪律检查委员会、监察委员会概况</w:t>
      </w: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华文中宋" w:hAnsi="华文中宋" w:eastAsia="华文中宋"/>
          <w:b/>
          <w:sz w:val="36"/>
          <w:szCs w:val="36"/>
        </w:rPr>
      </w:pPr>
    </w:p>
    <w:p>
      <w:pPr>
        <w:rPr>
          <w:rFonts w:hint="eastAsia" w:ascii="黑体" w:hAnsi="宋体" w:eastAsia="黑体"/>
          <w:b/>
          <w:sz w:val="32"/>
          <w:szCs w:val="32"/>
        </w:rPr>
      </w:pPr>
    </w:p>
    <w:p>
      <w:pPr>
        <w:rPr>
          <w:rFonts w:hint="eastAsia" w:ascii="黑体" w:hAnsi="宋体" w:eastAsia="黑体"/>
          <w:b/>
          <w:sz w:val="32"/>
          <w:szCs w:val="32"/>
        </w:rPr>
      </w:pPr>
    </w:p>
    <w:p>
      <w:pPr>
        <w:ind w:firstLine="643" w:firstLineChars="200"/>
        <w:rPr>
          <w:rFonts w:hint="eastAsia" w:ascii="黑体" w:hAnsi="宋体" w:eastAsia="黑体"/>
          <w:b/>
          <w:sz w:val="32"/>
          <w:szCs w:val="32"/>
        </w:rPr>
      </w:pPr>
      <w:r>
        <w:rPr>
          <w:rFonts w:hint="eastAsia" w:ascii="黑体" w:hAnsi="宋体" w:eastAsia="黑体"/>
          <w:b/>
          <w:sz w:val="32"/>
          <w:szCs w:val="32"/>
        </w:rPr>
        <w:t>一、主要职能</w:t>
      </w:r>
    </w:p>
    <w:p>
      <w:pPr>
        <w:ind w:firstLine="640" w:firstLineChars="2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中共山南市乃东区纪律检查委员会、监察委员会机关合署办公，履行纪检、监察两项职责，实行一套工作机构、两个机关名称。乃东区纪委接受山南市纪委和乃东区委的双重领导；主要职责是：主管乃东区党的纪律检查工作；主管全乃东区行政监察工作；负责检查处理乃东区（中）直各部门、各乡镇、区党的组织和乃东区委管理的党员领导干部违反党的章程及党内法规的案件或其他重要、复杂案件，决定或取消对这些案件中党员的处分；受理党员的控告和申诉，保护党员的民主权利和合法权益。负责作出关于维护党纪的决定，制定党风党纪教育规划，配合有关部门做好党的纪检工作方针、政策的宣传工作和对党员进行遵守纪律的教育工作；组织和指导乃东区纪检监察系统干部的培训工作。负责对党的纪律检查工作理论及有关问题进行调查研究；草拟贯彻执行纪检监察法规和政策的有关规定；指导乃东区各级纪检监察机关有关纪检监察方面的制度建设。会同乃东区直属有关部门以及各乡镇、区党委、政府做好纪检监察干部的管理工作。承办自治区纪委、山南市纪委及上级部门、乃东区委交办的其他事项。</w:t>
      </w:r>
    </w:p>
    <w:p>
      <w:pPr>
        <w:ind w:firstLine="643" w:firstLineChars="200"/>
        <w:rPr>
          <w:rFonts w:hint="eastAsia" w:ascii="黑体" w:hAnsi="宋体" w:eastAsia="黑体"/>
          <w:b/>
          <w:sz w:val="32"/>
          <w:szCs w:val="32"/>
        </w:rPr>
      </w:pPr>
      <w:r>
        <w:rPr>
          <w:rFonts w:hint="eastAsia" w:ascii="黑体" w:hAnsi="宋体" w:eastAsia="黑体"/>
          <w:b/>
          <w:sz w:val="32"/>
          <w:szCs w:val="32"/>
        </w:rPr>
        <w:t xml:space="preserve">二、山南乃东区乃东区纪律检查委员会、监察委员会预算单位构成  </w:t>
      </w:r>
    </w:p>
    <w:p>
      <w:pPr>
        <w:ind w:firstLine="643" w:firstLineChars="200"/>
        <w:rPr>
          <w:rFonts w:hint="eastAsia" w:ascii="黑体" w:hAnsi="宋体" w:eastAsia="黑体"/>
          <w:b/>
          <w:sz w:val="32"/>
          <w:szCs w:val="32"/>
        </w:rPr>
      </w:pPr>
      <w:r>
        <w:rPr>
          <w:rFonts w:hint="eastAsia" w:ascii="黑体" w:hAnsi="宋体" w:eastAsia="黑体"/>
          <w:b/>
          <w:sz w:val="32"/>
          <w:szCs w:val="32"/>
        </w:rPr>
        <w:t>（一）机构设置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中共山南市乃东区纪律检查委员会内设8个机构。1个所属事业单位，分别为：综合办公室组织宣传室、党风政风监督室落实监督责任办公室、案件监督管理室、第一纪检监察室、第二纪检监察室、案件审理室、纪检监察干部监督室政治纪律监督室、信访室。1个所属事业单位为：纪检监察信息中心。</w:t>
      </w:r>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（二）部门预算单位构成</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一级预算单位1个为中共山南市乃东区纪律检查委员会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中共山南市乃东区纪律检查委员会、监察委员会201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76"/>
        <w:gridCol w:w="1742"/>
        <w:gridCol w:w="1377"/>
        <w:gridCol w:w="694"/>
        <w:gridCol w:w="146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418" w:type="dxa"/>
            <w:gridSpan w:val="2"/>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377"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694" w:type="dxa"/>
            <w:tcBorders>
              <w:bottom w:val="single" w:color="000000" w:sz="12" w:space="0"/>
            </w:tcBorders>
            <w:shd w:val="clear" w:color="auto" w:fill="auto"/>
            <w:vAlign w:val="center"/>
          </w:tcPr>
          <w:p>
            <w:pPr>
              <w:jc w:val="left"/>
              <w:rPr>
                <w:rFonts w:hint="eastAsia" w:ascii="宋体" w:hAnsi="宋体" w:eastAsia="宋体" w:cs="宋体"/>
                <w:i w:val="0"/>
                <w:color w:val="000000"/>
                <w:sz w:val="21"/>
                <w:szCs w:val="21"/>
                <w:u w:val="none"/>
              </w:rPr>
            </w:pPr>
          </w:p>
        </w:tc>
        <w:tc>
          <w:tcPr>
            <w:tcW w:w="2841" w:type="dxa"/>
            <w:gridSpan w:val="2"/>
            <w:tcBorders>
              <w:bottom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18"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4912" w:type="dxa"/>
            <w:gridSpan w:val="4"/>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3,356,751.00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1,785,751.00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bl>
    <w:p/>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27"/>
        <w:gridCol w:w="1442"/>
        <w:gridCol w:w="1290"/>
        <w:gridCol w:w="1350"/>
        <w:gridCol w:w="1290"/>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lang w:val="en-US"/>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39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143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143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1,785,751.00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纪检监察事务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1,683,751.00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2011101</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1,536,751.00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2011199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其他纪检监察事务支出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2013299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其他组织事务支出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969"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1,820,000.00</w:t>
            </w:r>
          </w:p>
        </w:tc>
        <w:tc>
          <w:tcPr>
            <w:tcW w:w="143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Style w:val="11"/>
                <w:lang w:val="en-US" w:eastAsia="zh-CN" w:bidi="ar"/>
              </w:rPr>
              <w:t>科目</w:t>
            </w:r>
          </w:p>
        </w:tc>
      </w:tr>
    </w:tbl>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87"/>
        <w:gridCol w:w="1414"/>
        <w:gridCol w:w="1482"/>
        <w:gridCol w:w="1300"/>
        <w:gridCol w:w="1468"/>
        <w:gridCol w:w="1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shd w:val="clear"/>
            <w:vAlign w:val="center"/>
          </w:tcPr>
          <w:p>
            <w:pPr>
              <w:jc w:val="both"/>
              <w:rPr>
                <w:rFonts w:hint="eastAsia" w:ascii="宋体" w:hAnsi="宋体" w:eastAsia="宋体" w:cs="宋体"/>
                <w:i w:val="0"/>
                <w:color w:val="000000"/>
                <w:sz w:val="21"/>
                <w:szCs w:val="21"/>
                <w:u w:val="none"/>
              </w:rPr>
            </w:pPr>
          </w:p>
        </w:tc>
        <w:tc>
          <w:tcPr>
            <w:tcW w:w="1414" w:type="dxa"/>
            <w:shd w:val="clear"/>
            <w:vAlign w:val="center"/>
          </w:tcPr>
          <w:p>
            <w:pPr>
              <w:rPr>
                <w:rFonts w:hint="eastAsia" w:ascii="宋体" w:hAnsi="宋体" w:eastAsia="宋体" w:cs="宋体"/>
                <w:i w:val="0"/>
                <w:color w:val="000000"/>
                <w:sz w:val="22"/>
                <w:szCs w:val="22"/>
                <w:u w:val="none"/>
              </w:rPr>
            </w:pPr>
          </w:p>
        </w:tc>
        <w:tc>
          <w:tcPr>
            <w:tcW w:w="1482" w:type="dxa"/>
            <w:shd w:val="clear"/>
            <w:vAlign w:val="center"/>
          </w:tcPr>
          <w:p>
            <w:pPr>
              <w:rPr>
                <w:rFonts w:hint="eastAsia" w:ascii="宋体" w:hAnsi="宋体" w:eastAsia="宋体" w:cs="宋体"/>
                <w:i w:val="0"/>
                <w:color w:val="000000"/>
                <w:sz w:val="22"/>
                <w:szCs w:val="22"/>
                <w:u w:val="none"/>
              </w:rPr>
            </w:pPr>
          </w:p>
        </w:tc>
        <w:tc>
          <w:tcPr>
            <w:tcW w:w="1300" w:type="dxa"/>
            <w:shd w:val="clear"/>
            <w:vAlign w:val="center"/>
          </w:tcPr>
          <w:p>
            <w:pPr>
              <w:rPr>
                <w:rFonts w:hint="eastAsia" w:ascii="宋体" w:hAnsi="宋体" w:eastAsia="宋体" w:cs="宋体"/>
                <w:i w:val="0"/>
                <w:color w:val="000000"/>
                <w:sz w:val="22"/>
                <w:szCs w:val="22"/>
                <w:u w:val="none"/>
              </w:rPr>
            </w:pPr>
          </w:p>
        </w:tc>
        <w:tc>
          <w:tcPr>
            <w:tcW w:w="2747"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425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12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12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948,086.00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948,086.00</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215,747.00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215,747.00</w:t>
            </w:r>
          </w:p>
        </w:tc>
        <w:tc>
          <w:tcPr>
            <w:tcW w:w="1468" w:type="dxa"/>
            <w:shd w:val="clear"/>
            <w:vAlign w:val="center"/>
          </w:tcPr>
          <w:p>
            <w:pP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732,339.00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732,339.00</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253,455.00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253,455.00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41,183.00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41,183.00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1,025.00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2,880.00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2,880.00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7,673.00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7,673.00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6,432.00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6,432.00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19,585.58</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19,585.58</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414"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18,163.00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18,163.00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1482"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45,662.00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45,662.00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110,851.42</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110,851.42</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335,210.00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335,210.00</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335,140.00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335,140.00</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4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0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4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1,536,751.00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1,283,296.00 </w:t>
            </w:r>
          </w:p>
        </w:tc>
        <w:tc>
          <w:tcPr>
            <w:tcW w:w="1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253,455.00</w:t>
            </w:r>
          </w:p>
        </w:tc>
        <w:tc>
          <w:tcPr>
            <w:tcW w:w="12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45,662.00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45,662.00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45,662.00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45,662.00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45,662.00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45,662.00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69"/>
        <w:gridCol w:w="3027"/>
        <w:gridCol w:w="97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2869"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tc>
        <w:tc>
          <w:tcPr>
            <w:tcW w:w="3027" w:type="dxa"/>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c>
          <w:tcPr>
            <w:tcW w:w="974"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c>
          <w:tcPr>
            <w:tcW w:w="1460" w:type="dxa"/>
            <w:shd w:val="clear" w:color="auto" w:fill="auto"/>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869" w:type="dxa"/>
            <w:shd w:val="clear" w:color="auto" w:fill="auto"/>
            <w:vAlign w:val="center"/>
          </w:tcPr>
          <w:p>
            <w:pPr>
              <w:jc w:val="left"/>
              <w:rPr>
                <w:rFonts w:hint="eastAsia" w:ascii="宋体" w:hAnsi="宋体" w:eastAsia="宋体" w:cs="宋体"/>
                <w:i w:val="0"/>
                <w:color w:val="000000"/>
                <w:sz w:val="21"/>
                <w:szCs w:val="21"/>
                <w:u w:val="none"/>
              </w:rPr>
            </w:pPr>
          </w:p>
        </w:tc>
        <w:tc>
          <w:tcPr>
            <w:tcW w:w="3027" w:type="dxa"/>
            <w:shd w:val="clear" w:color="auto" w:fill="auto"/>
            <w:vAlign w:val="center"/>
          </w:tcPr>
          <w:p>
            <w:pPr>
              <w:rPr>
                <w:rFonts w:hint="eastAsia" w:ascii="宋体" w:hAnsi="宋体" w:eastAsia="宋体" w:cs="宋体"/>
                <w:i w:val="0"/>
                <w:color w:val="000000"/>
                <w:sz w:val="22"/>
                <w:szCs w:val="22"/>
                <w:u w:val="none"/>
              </w:rPr>
            </w:pPr>
          </w:p>
        </w:tc>
        <w:tc>
          <w:tcPr>
            <w:tcW w:w="974" w:type="dxa"/>
            <w:shd w:val="clear" w:color="auto" w:fill="auto"/>
            <w:vAlign w:val="center"/>
          </w:tcPr>
          <w:p>
            <w:pPr>
              <w:rPr>
                <w:rFonts w:hint="eastAsia" w:ascii="宋体" w:hAnsi="宋体" w:eastAsia="宋体" w:cs="宋体"/>
                <w:i w:val="0"/>
                <w:color w:val="000000"/>
                <w:sz w:val="22"/>
                <w:szCs w:val="22"/>
                <w:u w:val="none"/>
              </w:rPr>
            </w:pPr>
          </w:p>
        </w:tc>
        <w:tc>
          <w:tcPr>
            <w:tcW w:w="146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3,356,751.00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1,785,751.00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302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3,356,751.00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3,356,751.00 </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3,356,751.00 </w:t>
            </w:r>
          </w:p>
        </w:tc>
      </w:tr>
    </w:tbl>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65"/>
        <w:gridCol w:w="819"/>
        <w:gridCol w:w="1290"/>
        <w:gridCol w:w="734"/>
        <w:gridCol w:w="1290"/>
        <w:gridCol w:w="588"/>
        <w:gridCol w:w="474"/>
        <w:gridCol w:w="474"/>
        <w:gridCol w:w="474"/>
        <w:gridCol w:w="474"/>
        <w:gridCol w:w="474"/>
        <w:gridCol w:w="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330"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819"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734"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588" w:type="dxa"/>
            <w:shd w:val="clear"/>
            <w:vAlign w:val="center"/>
          </w:tcPr>
          <w:p>
            <w:pPr>
              <w:rPr>
                <w:rFonts w:hint="eastAsia" w:ascii="宋体" w:hAnsi="宋体" w:eastAsia="宋体" w:cs="宋体"/>
                <w:i w:val="0"/>
                <w:color w:val="000000"/>
                <w:sz w:val="22"/>
                <w:szCs w:val="22"/>
                <w:u w:val="none"/>
              </w:rPr>
            </w:pPr>
          </w:p>
        </w:tc>
        <w:tc>
          <w:tcPr>
            <w:tcW w:w="474" w:type="dxa"/>
            <w:shd w:val="clear"/>
            <w:vAlign w:val="center"/>
          </w:tcPr>
          <w:p>
            <w:pPr>
              <w:rPr>
                <w:rFonts w:hint="eastAsia" w:ascii="宋体" w:hAnsi="宋体" w:eastAsia="宋体" w:cs="宋体"/>
                <w:i w:val="0"/>
                <w:color w:val="000000"/>
                <w:sz w:val="22"/>
                <w:szCs w:val="22"/>
                <w:u w:val="none"/>
              </w:rPr>
            </w:pPr>
          </w:p>
        </w:tc>
        <w:tc>
          <w:tcPr>
            <w:tcW w:w="474" w:type="dxa"/>
            <w:shd w:val="clear"/>
            <w:vAlign w:val="center"/>
          </w:tcPr>
          <w:p>
            <w:pPr>
              <w:rPr>
                <w:rFonts w:hint="eastAsia" w:ascii="宋体" w:hAnsi="宋体" w:eastAsia="宋体" w:cs="宋体"/>
                <w:i w:val="0"/>
                <w:color w:val="000000"/>
                <w:sz w:val="22"/>
                <w:szCs w:val="22"/>
                <w:u w:val="none"/>
              </w:rPr>
            </w:pPr>
          </w:p>
        </w:tc>
        <w:tc>
          <w:tcPr>
            <w:tcW w:w="474" w:type="dxa"/>
            <w:shd w:val="clear"/>
            <w:vAlign w:val="center"/>
          </w:tcPr>
          <w:p>
            <w:pPr>
              <w:rPr>
                <w:rFonts w:hint="eastAsia" w:ascii="宋体" w:hAnsi="宋体" w:eastAsia="宋体" w:cs="宋体"/>
                <w:i w:val="0"/>
                <w:color w:val="000000"/>
                <w:sz w:val="22"/>
                <w:szCs w:val="22"/>
                <w:u w:val="none"/>
              </w:rPr>
            </w:pPr>
          </w:p>
        </w:tc>
        <w:tc>
          <w:tcPr>
            <w:tcW w:w="474" w:type="dxa"/>
            <w:shd w:val="clear"/>
            <w:vAlign w:val="center"/>
          </w:tcPr>
          <w:p>
            <w:pPr>
              <w:rPr>
                <w:rFonts w:hint="eastAsia" w:ascii="宋体" w:hAnsi="宋体" w:eastAsia="宋体" w:cs="宋体"/>
                <w:i w:val="0"/>
                <w:color w:val="000000"/>
                <w:sz w:val="22"/>
                <w:szCs w:val="22"/>
                <w:u w:val="none"/>
              </w:rPr>
            </w:pPr>
          </w:p>
        </w:tc>
        <w:tc>
          <w:tcPr>
            <w:tcW w:w="948"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1,785,751.00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1,785,751.00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纪检监察事务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1,683,751.00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1,683,751.00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2011101</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1,536,751.00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1,536,751.00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2011199</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其他纪检监察事务支出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2013299</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其他组织事务支出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102,000.00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c>
          <w:tcPr>
            <w:tcW w:w="73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c>
          <w:tcPr>
            <w:tcW w:w="58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91"/>
        <w:gridCol w:w="1019"/>
        <w:gridCol w:w="1290"/>
        <w:gridCol w:w="1350"/>
        <w:gridCol w:w="1290"/>
        <w:gridCol w:w="526"/>
        <w:gridCol w:w="946"/>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330" w:type="dxa"/>
            <w:gridSpan w:val="8"/>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91" w:type="dxa"/>
            <w:shd w:val="clear"/>
            <w:vAlign w:val="center"/>
          </w:tcPr>
          <w:p>
            <w:pPr>
              <w:jc w:val="left"/>
              <w:rPr>
                <w:rFonts w:hint="eastAsia" w:ascii="宋体" w:hAnsi="宋体" w:eastAsia="宋体" w:cs="宋体"/>
                <w:i w:val="0"/>
                <w:color w:val="000000"/>
                <w:sz w:val="21"/>
                <w:szCs w:val="21"/>
                <w:u w:val="none"/>
              </w:rPr>
            </w:pPr>
          </w:p>
        </w:tc>
        <w:tc>
          <w:tcPr>
            <w:tcW w:w="1019"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526" w:type="dxa"/>
            <w:shd w:val="clear"/>
            <w:vAlign w:val="center"/>
          </w:tcPr>
          <w:p>
            <w:pPr>
              <w:rPr>
                <w:rFonts w:hint="eastAsia" w:ascii="宋体" w:hAnsi="宋体" w:eastAsia="宋体" w:cs="宋体"/>
                <w:i w:val="0"/>
                <w:color w:val="000000"/>
                <w:sz w:val="22"/>
                <w:szCs w:val="22"/>
                <w:u w:val="none"/>
              </w:rPr>
            </w:pPr>
          </w:p>
        </w:tc>
        <w:tc>
          <w:tcPr>
            <w:tcW w:w="1964"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1,785,751.00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249,000.00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纪检监察事务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1,683,751.00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2011101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1,536,751.00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2011199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其他纪检监察事务支出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组织事务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2013299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其他组织事务支出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0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1,571,000.00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91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3,356,751.00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1,536,751.00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1,820,000.00</w:t>
            </w:r>
          </w:p>
        </w:tc>
        <w:tc>
          <w:tcPr>
            <w:tcW w:w="52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中共山南市乃东区纪律检查委员会、监察委员会</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1785751</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1571000元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元，上年一般公共预算财政拨款支出9215921.5元，比上年同期</w:t>
      </w:r>
      <w:r>
        <w:rPr>
          <w:rFonts w:hint="eastAsia" w:ascii="仿宋_GB2312" w:hAnsi="仿宋_GB2312" w:eastAsia="仿宋_GB2312" w:cs="仿宋_GB2312"/>
          <w:color w:val="000000" w:themeColor="text1"/>
          <w:sz w:val="32"/>
          <w:szCs w:val="26"/>
          <w:lang w:eastAsia="zh-CN"/>
          <w14:textFill>
            <w14:solidFill>
              <w14:schemeClr w14:val="tx1"/>
            </w14:solidFill>
          </w14:textFill>
        </w:rPr>
        <w:t>减少</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5859170.5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1785751</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53.2</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1571000元，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46.8</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1785751</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纪检监察事务1683751</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1536751</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948086</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253455</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335210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其他纪检监察事务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147000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2、组织事务102000元。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（1）其他组织事务支出102000元。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其他支出1571000元。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1、其他公共安全支出1571000元。</w:t>
      </w:r>
    </w:p>
    <w:p>
      <w:pPr>
        <w:pStyle w:val="4"/>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（1）其他公共安全支出1571000元。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1536751</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948086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61.7</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253455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16.5</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335210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21.8</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45662</w:t>
      </w:r>
      <w:r>
        <w:rPr>
          <w:rFonts w:hint="eastAsia" w:ascii="仿宋_GB2312" w:hAnsi="仿宋_GB2312" w:eastAsia="仿宋_GB2312" w:cs="仿宋_GB2312"/>
          <w:color w:val="000000" w:themeColor="text1"/>
          <w:sz w:val="32"/>
          <w:szCs w:val="26"/>
          <w14:textFill>
            <w14:solidFill>
              <w14:schemeClr w14:val="tx1"/>
            </w14:solidFill>
          </w14:textFill>
        </w:rPr>
        <w:t>元，2015年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三公经费决算支出34743万，同比增加10919元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元,上年支出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45662</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45662</w:t>
      </w:r>
      <w:r>
        <w:rPr>
          <w:rFonts w:hint="eastAsia" w:ascii="仿宋_GB2312" w:hAnsi="仿宋_GB2312" w:eastAsia="仿宋_GB2312" w:cs="仿宋_GB2312"/>
          <w:color w:val="000000" w:themeColor="text1"/>
          <w:sz w:val="32"/>
          <w:szCs w:val="26"/>
          <w14:textFill>
            <w14:solidFill>
              <w14:schemeClr w14:val="tx1"/>
            </w14:solidFill>
          </w14:textFill>
        </w:rPr>
        <w:t>元，上年支出34743元，比上年增加</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10919</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1785751</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1571000元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3356751</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1785751</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53.2</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1571000元，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46.8</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bookmarkStart w:id="0" w:name="_GoBack"/>
      <w:bookmarkEnd w:id="0"/>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5916A36"/>
    <w:rsid w:val="13F106A8"/>
    <w:rsid w:val="1D9E79D6"/>
    <w:rsid w:val="26E57E8B"/>
    <w:rsid w:val="28D878CD"/>
    <w:rsid w:val="396D5533"/>
    <w:rsid w:val="3EDC4B6D"/>
    <w:rsid w:val="3EE36A25"/>
    <w:rsid w:val="43603CEB"/>
    <w:rsid w:val="44890A8C"/>
    <w:rsid w:val="45222F42"/>
    <w:rsid w:val="461360DA"/>
    <w:rsid w:val="48B676D7"/>
    <w:rsid w:val="4B020017"/>
    <w:rsid w:val="609D6910"/>
    <w:rsid w:val="66516B3F"/>
    <w:rsid w:val="699A1B94"/>
    <w:rsid w:val="6C92316B"/>
    <w:rsid w:val="751203EA"/>
    <w:rsid w:val="770259B3"/>
    <w:rsid w:val="788662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uiPriority w:val="0"/>
    <w:rPr>
      <w:rFonts w:hint="eastAsia" w:ascii="宋体" w:hAnsi="宋体" w:eastAsia="宋体" w:cs="宋体"/>
      <w:color w:val="000000"/>
      <w:sz w:val="24"/>
      <w:szCs w:val="24"/>
      <w:u w:val="none"/>
    </w:rPr>
  </w:style>
  <w:style w:type="character" w:customStyle="1" w:styleId="11">
    <w:name w:val="font6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2018-12-28T03:46:21Z</cp:lastPrinted>
  <dcterms:modified xsi:type="dcterms:W3CDTF">2018-12-28T04:13:30Z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