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C" w:rsidRDefault="00235DFD">
      <w:pPr>
        <w:jc w:val="center"/>
        <w:rPr>
          <w:rFonts w:ascii="微软雅黑" w:eastAsia="微软雅黑" w:hAnsi="微软雅黑"/>
          <w:color w:val="444444"/>
          <w:szCs w:val="26"/>
        </w:rPr>
      </w:pPr>
      <w:r>
        <w:rPr>
          <w:rFonts w:ascii="微软雅黑" w:eastAsia="微软雅黑" w:hAnsi="微软雅黑" w:hint="eastAsia"/>
          <w:color w:val="444444"/>
          <w:szCs w:val="26"/>
        </w:rPr>
        <w:t xml:space="preserve">　</w:t>
      </w: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/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乃东区财政局</w:t>
      </w: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2016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年部门决算</w:t>
      </w: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DC619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C619C" w:rsidRDefault="00235DFD">
      <w:pPr>
        <w:jc w:val="center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lastRenderedPageBreak/>
        <w:t>目</w:t>
      </w:r>
      <w:r>
        <w:rPr>
          <w:rFonts w:ascii="仿宋" w:eastAsia="仿宋" w:hAnsi="仿宋" w:cs="方正小标宋简体" w:hint="eastAsia"/>
          <w:sz w:val="32"/>
          <w:szCs w:val="32"/>
        </w:rPr>
        <w:t xml:space="preserve">  </w:t>
      </w:r>
      <w:r>
        <w:rPr>
          <w:rFonts w:ascii="仿宋" w:eastAsia="仿宋" w:hAnsi="仿宋" w:cs="方正小标宋简体" w:hint="eastAsia"/>
          <w:sz w:val="32"/>
          <w:szCs w:val="32"/>
        </w:rPr>
        <w:t>录</w:t>
      </w:r>
    </w:p>
    <w:p w:rsidR="00DC619C" w:rsidRDefault="00DC619C">
      <w:pPr>
        <w:rPr>
          <w:rFonts w:ascii="仿宋" w:eastAsia="仿宋" w:hAnsi="仿宋" w:cs="仿宋_GB2312"/>
          <w:sz w:val="32"/>
          <w:szCs w:val="32"/>
        </w:rPr>
      </w:pPr>
    </w:p>
    <w:p w:rsidR="00DC619C" w:rsidRDefault="00235DFD">
      <w:pPr>
        <w:numPr>
          <w:ilvl w:val="0"/>
          <w:numId w:val="1"/>
        </w:num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乃东区财政局概况</w:t>
      </w:r>
    </w:p>
    <w:p w:rsidR="00DC619C" w:rsidRDefault="00235DFD">
      <w:pPr>
        <w:numPr>
          <w:ilvl w:val="0"/>
          <w:numId w:val="2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主要职责</w:t>
      </w:r>
    </w:p>
    <w:p w:rsidR="00DC619C" w:rsidRDefault="00235DFD">
      <w:p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二、内设机构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第二部分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乃东区财政局</w:t>
      </w:r>
      <w:r>
        <w:rPr>
          <w:rFonts w:ascii="仿宋" w:eastAsia="仿宋" w:hAnsi="仿宋" w:cs="仿宋_GB2312" w:hint="eastAsia"/>
          <w:sz w:val="32"/>
          <w:szCs w:val="32"/>
        </w:rPr>
        <w:t>2016</w:t>
      </w:r>
      <w:r>
        <w:rPr>
          <w:rFonts w:ascii="仿宋" w:eastAsia="仿宋" w:hAnsi="仿宋" w:cs="仿宋_GB2312" w:hint="eastAsia"/>
          <w:sz w:val="32"/>
          <w:szCs w:val="32"/>
        </w:rPr>
        <w:t>年部门决算表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财政拨款收支总表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一般公共预算支出表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一般公共预算基本支出表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一般公共预算“三公”经费支出表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政府性基金预算支出表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部门收支总表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部门收入总表</w:t>
      </w:r>
    </w:p>
    <w:p w:rsidR="00DC619C" w:rsidRDefault="00235DFD">
      <w:pPr>
        <w:numPr>
          <w:ilvl w:val="0"/>
          <w:numId w:val="3"/>
        </w:numPr>
        <w:ind w:firstLineChars="262" w:firstLine="838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部门支出总表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第三部分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乃东区财政局</w:t>
      </w:r>
      <w:r>
        <w:rPr>
          <w:rFonts w:ascii="仿宋" w:eastAsia="仿宋" w:hAnsi="仿宋" w:cs="仿宋_GB2312" w:hint="eastAsia"/>
          <w:sz w:val="32"/>
          <w:szCs w:val="32"/>
        </w:rPr>
        <w:t>2016</w:t>
      </w:r>
      <w:r>
        <w:rPr>
          <w:rFonts w:ascii="仿宋" w:eastAsia="仿宋" w:hAnsi="仿宋" w:cs="仿宋_GB2312" w:hint="eastAsia"/>
          <w:sz w:val="32"/>
          <w:szCs w:val="32"/>
        </w:rPr>
        <w:t>年部门决算数据分析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第四部分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名称解释</w:t>
      </w:r>
    </w:p>
    <w:p w:rsidR="00DC619C" w:rsidRDefault="00DC619C">
      <w:pPr>
        <w:jc w:val="center"/>
        <w:rPr>
          <w:rFonts w:ascii="仿宋" w:eastAsia="仿宋" w:hAnsi="仿宋"/>
          <w:sz w:val="32"/>
          <w:szCs w:val="32"/>
        </w:rPr>
      </w:pPr>
    </w:p>
    <w:p w:rsidR="00DC619C" w:rsidRDefault="00DC619C">
      <w:pPr>
        <w:jc w:val="center"/>
        <w:rPr>
          <w:rFonts w:ascii="仿宋" w:eastAsia="仿宋" w:hAnsi="仿宋"/>
          <w:sz w:val="32"/>
          <w:szCs w:val="32"/>
        </w:rPr>
      </w:pPr>
    </w:p>
    <w:p w:rsidR="00DC619C" w:rsidRDefault="00DC619C">
      <w:pPr>
        <w:jc w:val="center"/>
        <w:rPr>
          <w:sz w:val="84"/>
          <w:szCs w:val="84"/>
        </w:rPr>
        <w:sectPr w:rsidR="00DC619C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DC619C">
      <w:pPr>
        <w:jc w:val="center"/>
        <w:rPr>
          <w:sz w:val="84"/>
          <w:szCs w:val="84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第一部分</w:t>
      </w:r>
    </w:p>
    <w:p w:rsidR="00DC619C" w:rsidRDefault="00DC619C"/>
    <w:p w:rsidR="00DC619C" w:rsidRDefault="00DC619C"/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乃东区财政局概况</w:t>
      </w: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DC619C">
      <w:pPr>
        <w:jc w:val="center"/>
        <w:rPr>
          <w:sz w:val="36"/>
          <w:szCs w:val="36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乃东区财政局概况</w:t>
      </w:r>
    </w:p>
    <w:p w:rsidR="00DC619C" w:rsidRDefault="00DC619C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DC619C" w:rsidRDefault="00235DF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一、主要职责</w:t>
      </w:r>
    </w:p>
    <w:p w:rsidR="00DC619C" w:rsidRDefault="00235DFD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贯彻执行国家、自治区及市政府财政税收有关方针政策和法律法规，拟定全区财税发展规划、政策和改革方案并组织实施，分析预测宏观经济形势，贯彻自治区和市政府宏观经济政策，提出运用财税政策宏观调控和综合平衡社会财力的建议；完善鼓励公益事业发展的财税政策；对国家、自治区和市政府的财税政策和财税体制进行研究，拟定符合全区特点的推行办法和实施细则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（二）承担区政府各项财政收支管理工作，并指导全区各级财政做好相关工作；负责编制全区年度预决算草案并组织执行，受区人民政府委托，向区人大常务委员会报告全区预算及执行</w:t>
      </w:r>
      <w:r>
        <w:rPr>
          <w:rFonts w:ascii="仿宋" w:eastAsia="仿宋" w:hAnsi="仿宋" w:cs="仿宋_GB2312" w:hint="eastAsia"/>
          <w:sz w:val="32"/>
          <w:szCs w:val="32"/>
        </w:rPr>
        <w:t>、调整情况；组织制定区直部门（单位）经费开支标准、定额，负责审核批复区直部门（单位）的年度决算；负责完善各乡（镇）财政管理体制和转移支付制度，促进基层政府公共服务均等化。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（三）负责政府非税收入管理，负责政府性基金管理，按规定管理行政事业性收费；管理财政票据；负责指导审核全区住房公积金、住房补贴资金；承担清理规范公务员津贴补贴的具体工作。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（四）贯彻执行国库管理制度、国库集中收付制度，负责区国库业务，按规定开展国库现金管理工作，负责制定区政府采购规定并监督管理；根据全区信息化建设战略，拟定财</w:t>
      </w:r>
      <w:r>
        <w:rPr>
          <w:rFonts w:ascii="仿宋" w:eastAsia="仿宋" w:hAnsi="仿宋" w:cs="仿宋_GB2312" w:hint="eastAsia"/>
          <w:sz w:val="32"/>
          <w:szCs w:val="32"/>
        </w:rPr>
        <w:t>政信息化建设中长期规划，规范管理全区财政信息化建设，负贲财政专网的维护管理。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（五）负责制定区行政事业单位国有资产管理规章制度，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规定管理行政事业单位国有资产，组织实施自治区和市政府统一规定的开支标准和支出政策，并负责规定区开支标准和支出政策，负责财政预算内行政机构、事业单位和社会团体非贸易外汇和财政预算内的收支管理。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（六）负责审核和汇总编制区国有资本经营预决算草案，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制定国有资本经营预算的制度和办法并监督执行，收取区政府本级企业国有资本收益；指导各乡（镇）国有资本经营预算工作，</w:t>
      </w:r>
      <w:r>
        <w:rPr>
          <w:rFonts w:ascii="仿宋" w:eastAsia="仿宋" w:hAnsi="仿宋" w:cs="仿宋_GB2312" w:hint="eastAsia"/>
          <w:sz w:val="32"/>
          <w:szCs w:val="32"/>
        </w:rPr>
        <w:t>组织实施企业财务制度，参与拟定企业国有资产管理相关制度，按规定管理资产评估工作。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七）负责办理和监督区财政的经济发展支出、地方政府性投资项目的财政拨款；参与拟定全区建设投资的有关政策；贯彻执行基本建设财务制度，负责有关政策性补贴和专项储备资金财政管理工作；负责市区农业综合开发资金管理，参与农业综合开发项目相关工作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（八）参与拟定社会保险相关政策，会同有关部门拟定社会保障资金（基金）财务管理制度，管理全区相关的财政社会保障资金、就业及医疗卫生专项资金支出，编制、审核全区社会保障预决算草案，</w:t>
      </w:r>
      <w:r>
        <w:rPr>
          <w:rFonts w:ascii="仿宋" w:eastAsia="仿宋" w:hAnsi="仿宋" w:cs="仿宋_GB2312" w:hint="eastAsia"/>
          <w:sz w:val="32"/>
          <w:szCs w:val="32"/>
        </w:rPr>
        <w:t>承担社会保险基金财政监管工作。</w:t>
      </w:r>
    </w:p>
    <w:p w:rsidR="00DC619C" w:rsidRDefault="00235DFD">
      <w:pPr>
        <w:numPr>
          <w:ilvl w:val="0"/>
          <w:numId w:val="4"/>
        </w:num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按照中央、自治区和市政府财政制定的地穷债务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划，贯彻执行自治区债务管理的制度、政策和办法，加强债务管理，防范财政风险。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（十）拟定地方管理的金融机构政策和制度，对地方性金融机构的国有资产进行监管。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（十一）负责管理全区会计工作，监督和规范会计行为，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组织实施国家统一的会计准则制度，指负责监督全区注册会计师、会计师事务所的业务；负责财政系统干部的培训以及财政宣传和财政信息工作。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（十二）拟定全区财政监督检查的政策和制度；监督检查财税法规、政策的执行情况，反映财政收支管理中的重大问题，组织和指导全区财务检查和有关专项检查工作。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（十三）承办区政府交办的其他事项。</w:t>
      </w:r>
    </w:p>
    <w:p w:rsidR="00DC619C" w:rsidRDefault="00235DFD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二、内设机构</w:t>
      </w:r>
    </w:p>
    <w:p w:rsidR="00DC619C" w:rsidRDefault="00235DFD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乃东区财政局（国有资产监督管理委员会）不设内设机构。</w:t>
      </w:r>
    </w:p>
    <w:p w:rsidR="00DC619C" w:rsidRDefault="00DC619C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DC619C" w:rsidRDefault="00DC61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DC619C">
      <w:pPr>
        <w:rPr>
          <w:rFonts w:ascii="仿宋_GB2312" w:eastAsia="仿宋_GB2312" w:hAnsi="仿宋_GB2312" w:cs="仿宋_GB2312"/>
          <w:sz w:val="32"/>
          <w:szCs w:val="32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第二部分</w:t>
      </w:r>
    </w:p>
    <w:p w:rsidR="00DC619C" w:rsidRDefault="00DC619C"/>
    <w:p w:rsidR="00DC619C" w:rsidRDefault="00DC619C"/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乃东区财政局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2016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年部门决算表</w:t>
      </w: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628"/>
        <w:gridCol w:w="1183"/>
        <w:gridCol w:w="1460"/>
        <w:gridCol w:w="1460"/>
        <w:gridCol w:w="1148"/>
      </w:tblGrid>
      <w:tr w:rsidR="00DC619C">
        <w:trPr>
          <w:trHeight w:val="480"/>
        </w:trPr>
        <w:tc>
          <w:tcPr>
            <w:tcW w:w="1457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5731" w:type="dxa"/>
            <w:gridSpan w:val="4"/>
            <w:shd w:val="clear" w:color="auto" w:fill="auto"/>
            <w:vAlign w:val="center"/>
          </w:tcPr>
          <w:p w:rsidR="00DC619C" w:rsidRDefault="00235DF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财政拨款收支决算总表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390"/>
        </w:trPr>
        <w:tc>
          <w:tcPr>
            <w:tcW w:w="30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08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单位：元</w:t>
            </w:r>
          </w:p>
        </w:tc>
      </w:tr>
      <w:tr w:rsidR="00DC619C">
        <w:trPr>
          <w:trHeight w:val="420"/>
        </w:trPr>
        <w:tc>
          <w:tcPr>
            <w:tcW w:w="30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收入</w:t>
            </w:r>
          </w:p>
        </w:tc>
        <w:tc>
          <w:tcPr>
            <w:tcW w:w="525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支出</w:t>
            </w:r>
          </w:p>
        </w:tc>
      </w:tr>
      <w:tr w:rsidR="00DC619C">
        <w:trPr>
          <w:trHeight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决算数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一般公共预算财政拨款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政府性基金预算财政拨款</w:t>
            </w: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一、本年收入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一、本年支出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（一）一般公共预算拨款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16,659,756.40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一、一般公共服务支出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7,007,656.40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7,007,656.40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（二）政府性基金预算拨款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十一、城乡社区支出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5,529,362.96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5,529,362.96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十二、农林水支出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560,000.00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560,000.00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二十一、其他支出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9,092,100.00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二、上年结转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（一）一般公共预算拨款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（二）政府性基金预算拨款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……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二、结转下年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6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计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22,189,119.36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22,189,119.36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22,189,119.36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446"/>
        <w:gridCol w:w="1395"/>
        <w:gridCol w:w="1290"/>
        <w:gridCol w:w="1395"/>
        <w:gridCol w:w="1340"/>
      </w:tblGrid>
      <w:tr w:rsidR="00DC619C">
        <w:trPr>
          <w:trHeight w:val="720"/>
        </w:trPr>
        <w:tc>
          <w:tcPr>
            <w:tcW w:w="1470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5526" w:type="dxa"/>
            <w:gridSpan w:val="4"/>
            <w:shd w:val="clear" w:color="auto" w:fill="auto"/>
            <w:vAlign w:val="center"/>
          </w:tcPr>
          <w:p w:rsidR="00DC619C" w:rsidRDefault="00235D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一般公共预算支出决算表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330"/>
        </w:trPr>
        <w:tc>
          <w:tcPr>
            <w:tcW w:w="833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单位：元</w:t>
            </w:r>
          </w:p>
        </w:tc>
      </w:tr>
      <w:tr w:rsidR="00DC619C">
        <w:trPr>
          <w:trHeight w:val="340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功能分类科目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年决算数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科目编码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基本支出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项目支出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7,007,656.40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3,153,230.50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3,854,425.90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预算改革业务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财政国库业务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党委办公厅（室）及相关机构事务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其他党委办公厅（室）及相关机构事务支出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组织事务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2013299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其他组织事务支出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城乡社区支出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国有土地使用权出让收入及对应专项债务收入安排的支出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2120801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征地和拆迁补偿支出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农林水支出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扶贫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普惠金融发展支出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涉农贷款增量奖励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2299901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22,189,119.36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3,153,230.50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19,035,888.86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8336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21"/>
                <w:rFonts w:hint="default"/>
                <w:lang/>
              </w:rPr>
              <w:t>备注：本表按照政府收支分类科目列示到</w:t>
            </w:r>
            <w:r>
              <w:rPr>
                <w:rStyle w:val="font11"/>
                <w:rFonts w:hint="default"/>
                <w:lang/>
              </w:rPr>
              <w:t>项级</w:t>
            </w:r>
            <w:r>
              <w:rPr>
                <w:rStyle w:val="font01"/>
                <w:rFonts w:hint="default"/>
                <w:lang/>
              </w:rPr>
              <w:t>科目</w:t>
            </w:r>
          </w:p>
        </w:tc>
      </w:tr>
    </w:tbl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395"/>
        <w:gridCol w:w="1481"/>
        <w:gridCol w:w="1361"/>
        <w:gridCol w:w="1480"/>
        <w:gridCol w:w="1254"/>
      </w:tblGrid>
      <w:tr w:rsidR="00DC619C">
        <w:trPr>
          <w:trHeight w:hRule="exact" w:val="735"/>
        </w:trPr>
        <w:tc>
          <w:tcPr>
            <w:tcW w:w="1365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:rsidR="00DC619C" w:rsidRDefault="00235D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一般公共预算基本支出决算表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hRule="exact" w:val="34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经济分类科目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年基本支出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科目编码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科目名称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人员经费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公用经费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工资福利支出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1,524,231.50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1,524,231.50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基本工资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351,935.00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351,935.00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津贴补贴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1,172,296.50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1,172,296.50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奖金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社会保障缴费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伙食补助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30199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其他工资福利支出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商品和服务支出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1,575,884.00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1,575,884.00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办公费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500,000.00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500,000.00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印刷费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400,000.00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400,000.00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咨询费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水费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6,390.00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6,390.00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电费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31,707.66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31,707.66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邮电费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52,650.94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52,650.94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取暖费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10,452.00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10,452.00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物业管理费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差旅费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2,378.00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2,378.00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维修（护）费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310,886.65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310,886.65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租赁费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会议费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30216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培训费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1,115.00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1,115.00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公务接待费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11,120.00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11,120.00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被装购置费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劳务费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工会经费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26,957.00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26,957.00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福利费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30231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公务用车运行维护费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32,383.75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32,383.75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30299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其他商品和服务支出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189,843.00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189,843.00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303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对个人与家庭的补助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53,115.00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53,115.00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退休费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退职（役）费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抚恤金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生活补助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23,500.00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23,500.00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医疗费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助学金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奖励金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生产补贴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住房公积金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购房补贴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30399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其他对个人与家庭的补助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29,615.00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29,615.00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hRule="exact" w:val="34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 xml:space="preserve">3,153,230.50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 xml:space="preserve">1,577,346.50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1,575,884.00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309"/>
        <w:gridCol w:w="869"/>
        <w:gridCol w:w="869"/>
        <w:gridCol w:w="660"/>
        <w:gridCol w:w="660"/>
        <w:gridCol w:w="870"/>
        <w:gridCol w:w="310"/>
        <w:gridCol w:w="730"/>
        <w:gridCol w:w="870"/>
        <w:gridCol w:w="660"/>
        <w:gridCol w:w="660"/>
      </w:tblGrid>
      <w:tr w:rsidR="00DC619C">
        <w:trPr>
          <w:trHeight w:val="600"/>
        </w:trPr>
        <w:tc>
          <w:tcPr>
            <w:tcW w:w="869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7467" w:type="dxa"/>
            <w:gridSpan w:val="11"/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一般公共预算“三公”经费支出决算表</w:t>
            </w:r>
          </w:p>
        </w:tc>
      </w:tr>
      <w:tr w:rsidR="00DC619C">
        <w:trPr>
          <w:trHeight w:val="405"/>
        </w:trPr>
        <w:tc>
          <w:tcPr>
            <w:tcW w:w="869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val="975"/>
        </w:trPr>
        <w:tc>
          <w:tcPr>
            <w:tcW w:w="4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年预算数</w:t>
            </w:r>
          </w:p>
        </w:tc>
        <w:tc>
          <w:tcPr>
            <w:tcW w:w="4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年决算数</w:t>
            </w:r>
          </w:p>
        </w:tc>
      </w:tr>
      <w:tr w:rsidR="00DC619C">
        <w:trPr>
          <w:trHeight w:val="975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因公出国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费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公务用车购置及运行费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公务接待费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因公出国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费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公务用车购置及运行费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公务接待费</w:t>
            </w:r>
          </w:p>
        </w:tc>
      </w:tr>
      <w:tr w:rsidR="00DC619C">
        <w:trPr>
          <w:trHeight w:val="975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公务用车购置费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公务用车运行费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小计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公务用车购置费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公务用车运行费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1,549,997.75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1,538,877.75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1,500,000.00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38,877.75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11,120.00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1,549,997.75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1538877.75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1,500,000.00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38,877.75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11,120.00</w:t>
            </w:r>
          </w:p>
        </w:tc>
      </w:tr>
      <w:tr w:rsidR="00DC619C">
        <w:trPr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619C">
        <w:trPr>
          <w:trHeight w:val="9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C619C" w:rsidRDefault="00DC619C">
      <w:pPr>
        <w:jc w:val="center"/>
        <w:rPr>
          <w:rFonts w:ascii="微软雅黑" w:eastAsia="微软雅黑" w:hAnsi="微软雅黑"/>
          <w:color w:val="444444"/>
          <w:szCs w:val="26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3039"/>
        <w:gridCol w:w="1013"/>
        <w:gridCol w:w="1290"/>
        <w:gridCol w:w="838"/>
        <w:gridCol w:w="1291"/>
      </w:tblGrid>
      <w:tr w:rsidR="00DC619C">
        <w:trPr>
          <w:trHeight w:val="480"/>
        </w:trPr>
        <w:tc>
          <w:tcPr>
            <w:tcW w:w="865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6180" w:type="dxa"/>
            <w:gridSpan w:val="4"/>
            <w:shd w:val="clear" w:color="auto" w:fill="auto"/>
            <w:vAlign w:val="center"/>
          </w:tcPr>
          <w:p w:rsidR="00DC619C" w:rsidRDefault="00235DF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政府性基金支出决算表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DC619C">
        <w:trPr>
          <w:trHeight w:val="420"/>
        </w:trPr>
        <w:tc>
          <w:tcPr>
            <w:tcW w:w="865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填报单位：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XXX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（部门）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                                         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val="54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科目编码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科目名称　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单位代码　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本年政府性基金预算财政拨款支出</w:t>
            </w:r>
          </w:p>
        </w:tc>
      </w:tr>
      <w:tr w:rsidR="00DC619C">
        <w:trPr>
          <w:trHeight w:val="5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基本支出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项目支出</w:t>
            </w: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城乡社区支出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009914079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国有土地使用权出让收入及对应专项债务收入安排的支出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009914080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2120801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征地和拆迁补偿支出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009914081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4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</w:tr>
    </w:tbl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3030"/>
        <w:gridCol w:w="974"/>
        <w:gridCol w:w="1460"/>
      </w:tblGrid>
      <w:tr w:rsidR="00DC619C">
        <w:trPr>
          <w:trHeight w:val="480"/>
        </w:trPr>
        <w:tc>
          <w:tcPr>
            <w:tcW w:w="2872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部门收支决算总表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DC619C">
        <w:trPr>
          <w:trHeight w:val="420"/>
        </w:trPr>
        <w:tc>
          <w:tcPr>
            <w:tcW w:w="2872" w:type="dxa"/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val="555"/>
        </w:trPr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收入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支出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决算数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决算数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一、一般公共预算拨款收入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16,659,756.40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一、一般公共服务支出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7,007,656.40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二、政府性基金预算拨款收入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十一、城乡社区支出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5,529,362.96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三、事业收入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十二、农林水支出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560,000.00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四、事业单位经营收入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二十一、其他支出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五、其他收入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b/>
                <w:color w:val="3F3F3F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本年收入合计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22,189,119.36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本年支出合计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22,189,119.36</w:t>
            </w: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用事业基金弥补收支差额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上年结转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结转下年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55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22,189,119.36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22,189,119.36 </w:t>
            </w:r>
          </w:p>
        </w:tc>
      </w:tr>
    </w:tbl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811"/>
        <w:gridCol w:w="1395"/>
        <w:gridCol w:w="475"/>
        <w:gridCol w:w="1395"/>
        <w:gridCol w:w="1290"/>
        <w:gridCol w:w="367"/>
        <w:gridCol w:w="367"/>
        <w:gridCol w:w="367"/>
        <w:gridCol w:w="367"/>
        <w:gridCol w:w="368"/>
        <w:gridCol w:w="369"/>
      </w:tblGrid>
      <w:tr w:rsidR="00DC619C">
        <w:trPr>
          <w:trHeight w:val="286"/>
        </w:trPr>
        <w:tc>
          <w:tcPr>
            <w:tcW w:w="765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7202" w:type="dxa"/>
            <w:gridSpan w:val="10"/>
            <w:shd w:val="clear" w:color="auto" w:fill="auto"/>
            <w:vAlign w:val="center"/>
          </w:tcPr>
          <w:p w:rsidR="00DC619C" w:rsidRDefault="00235DF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部门收入决算总表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shd w:val="clear" w:color="auto" w:fill="auto"/>
            <w:vAlign w:val="center"/>
          </w:tcPr>
          <w:p w:rsidR="00DC619C" w:rsidRDefault="00DC619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val="825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上年结转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一般公共预算拨款收入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政府性基金预算拨款收入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事业收入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事业单位经营收入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上级补助收入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下级单位上缴收入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其他收入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用事业基金弥补收支差额</w:t>
            </w: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科目编码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7,007,656.40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7,007,656.40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预算改革业务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财政国库业务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党委办公厅（室）及相关机构事务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其他党委办公厅（室）及相关机构事务支出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20132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组织事务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2013299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其他组织事务支出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城乡社区支出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国有土地使用权出让收入及对应专项债务收入安排的支出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征地和拆迁补偿支出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农林水支出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扶贫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普惠金融发展支出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涉农贷款增量奖励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9,092,100.00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2299901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286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22,189,119.36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16,659,756.40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274"/>
        <w:gridCol w:w="1395"/>
        <w:gridCol w:w="1290"/>
        <w:gridCol w:w="1395"/>
        <w:gridCol w:w="416"/>
        <w:gridCol w:w="700"/>
        <w:gridCol w:w="1070"/>
      </w:tblGrid>
      <w:tr w:rsidR="00DC619C">
        <w:trPr>
          <w:trHeight w:val="540"/>
        </w:trPr>
        <w:tc>
          <w:tcPr>
            <w:tcW w:w="796" w:type="dxa"/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8</w:t>
            </w:r>
            <w:bookmarkStart w:id="0" w:name="_GoBack"/>
            <w:bookmarkEnd w:id="0"/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部门支出决算总表</w:t>
            </w:r>
          </w:p>
        </w:tc>
      </w:tr>
      <w:tr w:rsidR="00DC619C">
        <w:trPr>
          <w:trHeight w:val="405"/>
        </w:trPr>
        <w:tc>
          <w:tcPr>
            <w:tcW w:w="796" w:type="dxa"/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C619C" w:rsidRDefault="00DC619C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单位：元</w:t>
            </w:r>
          </w:p>
        </w:tc>
      </w:tr>
      <w:tr w:rsidR="00DC619C">
        <w:trPr>
          <w:trHeight w:val="615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基本支出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项目支出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上缴上级支出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事业单位经营支出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对下级单位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补助支出</w:t>
            </w: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科目编码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科目名称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7,007,656.40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3,153,230.50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3,854,425.90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2,784,330.50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2,374,330.50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预算改革业务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60,000.00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58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2010605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财政国库业务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350,000.00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党委办公厅（室）及相关机构事务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2013199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其他党委办公厅（室）及相关机构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129,295.00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129,295.00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20132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组织事务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2013299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其他组织事务支出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368,900.00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2019999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其他一般公共服务支出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3,725,130.90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城乡社区支出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国有土地使用权出让收入及对应专项债务收入安排的支出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2120801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征地和拆迁补偿支出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5,529,362.96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农林水支出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560,000.00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扶贫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2130501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行政运行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460,000.00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普惠金融发展支出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2130802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涉农贷款增量奖励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100,000.00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2299901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其他支出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9,092,100.00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619C">
        <w:trPr>
          <w:trHeight w:val="465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22,189,119.36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3,153,230.50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235D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19,035,888.86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19C" w:rsidRDefault="00DC619C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C619C" w:rsidRDefault="00DC619C">
      <w:pPr>
        <w:rPr>
          <w:rFonts w:ascii="方正小标宋简体" w:eastAsia="方正小标宋简体" w:hAnsi="方正小标宋简体" w:cs="方正小标宋简体"/>
          <w:szCs w:val="44"/>
        </w:rPr>
        <w:sectPr w:rsidR="00DC61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851" w:footer="992" w:gutter="0"/>
          <w:cols w:space="720"/>
          <w:docGrid w:type="lines" w:linePitch="317" w:charSpace="609"/>
        </w:sect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第三部分</w:t>
      </w:r>
    </w:p>
    <w:p w:rsidR="00DC619C" w:rsidRDefault="00DC619C">
      <w:pPr>
        <w:rPr>
          <w:rFonts w:ascii="Calibri" w:eastAsia="宋体" w:hAnsi="Calibri" w:cs="Times New Roman"/>
        </w:rPr>
      </w:pPr>
    </w:p>
    <w:p w:rsidR="00DC619C" w:rsidRDefault="00DC619C">
      <w:pPr>
        <w:rPr>
          <w:rFonts w:ascii="Calibri" w:eastAsia="宋体" w:hAnsi="Calibri" w:cs="Times New Roman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乃东区财政局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2016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年部门决算数据分析</w:t>
      </w: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  <w:r>
        <w:rPr>
          <w:rFonts w:ascii="微软雅黑" w:eastAsia="微软雅黑" w:hAnsi="微软雅黑" w:hint="eastAsia"/>
          <w:color w:val="444444"/>
          <w:sz w:val="21"/>
          <w:szCs w:val="26"/>
        </w:rPr>
        <w:t xml:space="preserve">　　</w:t>
      </w: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6"/>
        </w:rPr>
      </w:pP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一、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年度财政拨款收支决算总体情况说明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年度财政预算拨款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万元。其中一般公共预算拨款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政府性基金预算拨款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万元。本年实际支出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, 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其中一般公共预算拨款支出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政府性基金预算拨款支出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二、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年度一般公共预算当年财政拨款支出决算情况说明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（一）一般公共预算当年财政拨款决算规模变化情况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与上年决算数同口径比较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405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年一般公共预算当年财政拨款支出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万元，上年一般公共预算财政拨款支出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237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万元，比上年同期增加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1982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万元。　　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405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（二）一般公共预算当年财政拨款决算结构情况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分大类说明金额及占比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一般公共预算当年财政拨款决算支出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万元。其中：一般公共服务支出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 701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万元，占一般公共预算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当年财政拨款决算支出的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32%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；城乡社区支出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 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万元，占一般公共预算当年财政拨款决算支出的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25%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；农林水支出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lastRenderedPageBreak/>
        <w:t>占一般公共预算当年财政拨款决算支出的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；其他支出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909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万元，一般公共预算当年财政拨款决算支出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40%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（三）一般公共预算当年财政拨款决算具体使用情况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Chars="50" w:firstLine="16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一般公共服务支出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701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、财政事务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279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）行政运行支出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238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万元。其中工资福利支出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万元，商品和服务支出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80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万元，对个人和家庭补助支出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63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）预算改革业务支出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）财政国库业务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、党委办公厅（室）及相关机构事务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）其他党委办公厅（室）及相关机构事务支出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、组织事务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37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其他组织事务支出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37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万元，用于　　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Chars="100" w:firstLine="32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、其他一般公共服务支出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372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）其他一般公共服务支出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372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城乡社区支出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Chars="100" w:firstLine="32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、国有土地使用权出让收入及对应专项债务收入安排的支出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）征地和拆迁补偿支出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农林水支出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lastRenderedPageBreak/>
        <w:t xml:space="preserve">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、扶贫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）行政运行支出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7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、普惠金融发展支出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10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）涉农贷款增量奖励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10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其他支出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909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Chars="100" w:firstLine="32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、其他支出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909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ind w:firstLine="51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（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）其他支出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909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万元，用于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三、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年度一般公共预算基本支出决算情况说明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年度一般公共预算基本支出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315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万元。其中：工资福利支出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152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万元，占一般公共预算基本支出的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48%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。商品服务支出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158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万元，占一般公共预算基本支出的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50%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，对个人和家庭补助支出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万元，占一般公共预算基本支出的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四、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年“三公”经费决算情况说明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年三公经费决算支出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2015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0.12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万元，比上年增加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4.8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（一）公务接待费用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年公务接待费预算指标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万元，实际支出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 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上年支出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0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比上年增加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年公务接待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批次，接待人数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101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余人。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（二）因公出国（境）费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lastRenderedPageBreak/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年无因公出国（境）事项，未产生因公出国（境）费用。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（三）公务用车运行费用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年公务用车运行维护费预算指标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万元。实际支出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4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万元，上年支出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0.12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万元，比上年增加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3.88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五、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年度收支决算总体情况说明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年度可支配收入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万元。其中：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年财政预算拨款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万元（一般公共预算拨款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政府性基金预算拨款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万元）。本年实际支出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, 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其中一般公共预算拨款支出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政府性基金预算拨款支出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六、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2016 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年度收入决算情况说明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年度可支配收入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万元。其中：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年财政预算拨款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万元（一般公共预算拨款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政府性基金预算拨款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万元）。　　七、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年度支出决算情况说明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000000" w:themeColor="text1"/>
          <w:sz w:val="32"/>
          <w:szCs w:val="26"/>
        </w:rPr>
      </w:pP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　　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2016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年度支出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2219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 xml:space="preserve">, 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其中一般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公共预算拨款支出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1666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,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占年度支出的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75%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。政府性基金预算拨款支出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553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万元，占年度支出的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25%</w:t>
      </w:r>
      <w:r>
        <w:rPr>
          <w:rFonts w:ascii="微软雅黑" w:eastAsia="仿宋" w:hAnsi="微软雅黑" w:hint="eastAsia"/>
          <w:color w:val="000000" w:themeColor="text1"/>
          <w:sz w:val="32"/>
          <w:szCs w:val="26"/>
        </w:rPr>
        <w:t>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</w:t>
      </w: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DC619C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DC619C" w:rsidRDefault="00235DFD">
      <w:pPr>
        <w:ind w:firstLineChars="300" w:firstLine="2520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第四部分</w:t>
      </w:r>
    </w:p>
    <w:p w:rsidR="00DC619C" w:rsidRDefault="00DC619C">
      <w:pPr>
        <w:rPr>
          <w:rFonts w:ascii="Calibri" w:eastAsia="宋体" w:hAnsi="Calibri" w:cs="Times New Roman"/>
        </w:rPr>
      </w:pPr>
    </w:p>
    <w:p w:rsidR="00DC619C" w:rsidRDefault="00DC619C">
      <w:pPr>
        <w:rPr>
          <w:rFonts w:ascii="Calibri" w:eastAsia="宋体" w:hAnsi="Calibri" w:cs="Times New Roman"/>
        </w:rPr>
      </w:pPr>
    </w:p>
    <w:p w:rsidR="00DC619C" w:rsidRDefault="00235DFD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名词解释</w:t>
      </w: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DC619C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一、“三公”经费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　“三公”经费是指政府部门人员因公出国（境）、公务车内置及运行以及公务所产生的消费，是当前公共行政领域亟待解决的问题之一。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二、政府性基金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三、一般公共预算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　一般公共预算是以收税为主的财政收入，安排用于保障和改善民生，推动经济社会发展，维护国家安全，维持国家机构正常运转方面的收支预算。</w:t>
      </w:r>
    </w:p>
    <w:p w:rsidR="00DC619C" w:rsidRDefault="00235DFD">
      <w:pPr>
        <w:pStyle w:val="a6"/>
        <w:shd w:val="clear" w:color="auto" w:fill="FFFFFF"/>
        <w:spacing w:before="0" w:beforeAutospacing="0" w:after="0" w:afterAutospacing="0"/>
        <w:rPr>
          <w:rFonts w:ascii="微软雅黑" w:eastAsia="仿宋" w:hAnsi="微软雅黑"/>
          <w:color w:val="444444"/>
          <w:sz w:val="32"/>
          <w:szCs w:val="26"/>
        </w:rPr>
      </w:pPr>
      <w:r>
        <w:rPr>
          <w:rFonts w:ascii="微软雅黑" w:eastAsia="仿宋" w:hAnsi="微软雅黑" w:hint="eastAsia"/>
          <w:color w:val="444444"/>
          <w:sz w:val="32"/>
          <w:szCs w:val="26"/>
        </w:rPr>
        <w:t xml:space="preserve">　</w:t>
      </w:r>
    </w:p>
    <w:p w:rsidR="00DC619C" w:rsidRDefault="00DC619C">
      <w:pPr>
        <w:rPr>
          <w:rFonts w:eastAsia="仿宋"/>
          <w:sz w:val="32"/>
          <w:szCs w:val="21"/>
        </w:rPr>
      </w:pPr>
    </w:p>
    <w:sectPr w:rsidR="00DC619C" w:rsidSect="00DC619C"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FD" w:rsidRDefault="00235DFD" w:rsidP="00DC619C">
      <w:r>
        <w:separator/>
      </w:r>
    </w:p>
  </w:endnote>
  <w:endnote w:type="continuationSeparator" w:id="1">
    <w:p w:rsidR="00235DFD" w:rsidRDefault="00235DFD" w:rsidP="00DC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FD" w:rsidRDefault="00235DFD" w:rsidP="00DC619C">
      <w:r>
        <w:separator/>
      </w:r>
    </w:p>
  </w:footnote>
  <w:footnote w:type="continuationSeparator" w:id="1">
    <w:p w:rsidR="00235DFD" w:rsidRDefault="00235DFD" w:rsidP="00DC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9C" w:rsidRDefault="00DC61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E9E6"/>
    <w:multiLevelType w:val="singleLevel"/>
    <w:tmpl w:val="2D0DE9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0A523"/>
    <w:multiLevelType w:val="singleLevel"/>
    <w:tmpl w:val="2DD0A5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CDE6A52"/>
    <w:multiLevelType w:val="singleLevel"/>
    <w:tmpl w:val="3CDE6A52"/>
    <w:lvl w:ilvl="0">
      <w:start w:val="9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3">
    <w:nsid w:val="531C98D2"/>
    <w:multiLevelType w:val="singleLevel"/>
    <w:tmpl w:val="531C98D2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420"/>
  <w:drawingGridHorizontalSpacing w:val="213"/>
  <w:drawingGridVerticalSpacing w:val="317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3ABB"/>
    <w:rsid w:val="00016943"/>
    <w:rsid w:val="000670CE"/>
    <w:rsid w:val="000F32FF"/>
    <w:rsid w:val="000F7BFC"/>
    <w:rsid w:val="001238F6"/>
    <w:rsid w:val="00162024"/>
    <w:rsid w:val="001C1766"/>
    <w:rsid w:val="00235DFD"/>
    <w:rsid w:val="003542DA"/>
    <w:rsid w:val="003F3168"/>
    <w:rsid w:val="00451D87"/>
    <w:rsid w:val="005554F1"/>
    <w:rsid w:val="00584A2A"/>
    <w:rsid w:val="005A3C74"/>
    <w:rsid w:val="005C2A2D"/>
    <w:rsid w:val="005C3983"/>
    <w:rsid w:val="0064123B"/>
    <w:rsid w:val="00665965"/>
    <w:rsid w:val="0073665B"/>
    <w:rsid w:val="00786B60"/>
    <w:rsid w:val="007F33CD"/>
    <w:rsid w:val="00834DEF"/>
    <w:rsid w:val="00873F7D"/>
    <w:rsid w:val="00937015"/>
    <w:rsid w:val="00957243"/>
    <w:rsid w:val="00A14624"/>
    <w:rsid w:val="00A8507B"/>
    <w:rsid w:val="00B01974"/>
    <w:rsid w:val="00B241C9"/>
    <w:rsid w:val="00BA4FD1"/>
    <w:rsid w:val="00BC4712"/>
    <w:rsid w:val="00C22D79"/>
    <w:rsid w:val="00C662DC"/>
    <w:rsid w:val="00D20CF5"/>
    <w:rsid w:val="00D61C0D"/>
    <w:rsid w:val="00DC619C"/>
    <w:rsid w:val="00DE4854"/>
    <w:rsid w:val="00E238D1"/>
    <w:rsid w:val="00EA25C8"/>
    <w:rsid w:val="00F45B8F"/>
    <w:rsid w:val="00FA3ABB"/>
    <w:rsid w:val="00FB16AE"/>
    <w:rsid w:val="43365396"/>
    <w:rsid w:val="53E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19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C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C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C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DC619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C61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C61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C619C"/>
    <w:rPr>
      <w:sz w:val="18"/>
      <w:szCs w:val="18"/>
    </w:rPr>
  </w:style>
  <w:style w:type="character" w:customStyle="1" w:styleId="font21">
    <w:name w:val="font21"/>
    <w:basedOn w:val="a0"/>
    <w:qFormat/>
    <w:rsid w:val="00DC619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C619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C619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83521ED-BD40-41E3-B057-CF17CB72C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1511</Words>
  <Characters>8618</Characters>
  <Application>Microsoft Office Word</Application>
  <DocSecurity>0</DocSecurity>
  <Lines>71</Lines>
  <Paragraphs>20</Paragraphs>
  <ScaleCrop>false</ScaleCrop>
  <Company>china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2018-12-15T05:56:00Z</dcterms:created>
  <dcterms:modified xsi:type="dcterms:W3CDTF">2019-01-04T08:00:00Z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