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p>
    <w:p>
      <w:pPr>
        <w:spacing w:line="200" w:lineRule="exact"/>
        <w:rPr>
          <w:rFonts w:eastAsia="Times New Roman"/>
          <w:sz w:val="24"/>
        </w:rPr>
      </w:pPr>
      <w:bookmarkStart w:id="0" w:name="page1"/>
      <w:bookmarkEnd w:id="0"/>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360" w:lineRule="auto"/>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200" w:lineRule="exact"/>
        <w:rPr>
          <w:rFonts w:eastAsia="Times New Roman"/>
          <w:sz w:val="24"/>
        </w:rPr>
      </w:pPr>
    </w:p>
    <w:p>
      <w:pPr>
        <w:spacing w:line="376" w:lineRule="exact"/>
        <w:rPr>
          <w:rFonts w:eastAsia="Times New Roman"/>
          <w:sz w:val="24"/>
        </w:rPr>
      </w:pPr>
    </w:p>
    <w:p>
      <w:pPr>
        <w:spacing w:line="1042" w:lineRule="exact"/>
        <w:ind w:right="6"/>
        <w:jc w:val="center"/>
        <w:rPr>
          <w:rFonts w:hint="eastAsia" w:ascii="黑体" w:hAnsi="黑体" w:eastAsia="黑体"/>
          <w:sz w:val="84"/>
        </w:rPr>
        <w:sectPr>
          <w:pgSz w:w="11900" w:h="16820"/>
          <w:pgMar w:top="1440" w:right="1800" w:bottom="1440" w:left="1800" w:header="720" w:footer="720" w:gutter="0"/>
          <w:pgNumType w:start="1"/>
          <w:cols w:space="720" w:num="1"/>
          <w:docGrid w:linePitch="1" w:charSpace="0"/>
        </w:sectPr>
      </w:pPr>
      <w:r>
        <w:rPr>
          <w:rFonts w:hint="eastAsia" w:ascii="黑体" w:hAnsi="黑体" w:eastAsia="黑体"/>
          <w:sz w:val="84"/>
        </w:rPr>
        <w:t>山南市乃东区颇章乡</w:t>
      </w:r>
      <w:r>
        <w:rPr>
          <w:rFonts w:ascii="黑体" w:hAnsi="黑体" w:eastAsia="黑体"/>
          <w:sz w:val="84"/>
        </w:rPr>
        <w:t xml:space="preserve"> 201</w:t>
      </w:r>
      <w:r>
        <w:rPr>
          <w:rFonts w:hint="eastAsia" w:ascii="黑体" w:hAnsi="黑体" w:eastAsia="黑体"/>
          <w:sz w:val="84"/>
        </w:rPr>
        <w:t>6</w:t>
      </w:r>
      <w:r>
        <w:rPr>
          <w:rFonts w:ascii="黑体" w:hAnsi="黑体" w:eastAsia="黑体"/>
          <w:sz w:val="84"/>
        </w:rPr>
        <w:t>年部门</w:t>
      </w:r>
      <w:r>
        <w:rPr>
          <w:rFonts w:hint="eastAsia" w:ascii="黑体" w:hAnsi="黑体" w:eastAsia="黑体"/>
          <w:sz w:val="84"/>
        </w:rPr>
        <w:t>决</w:t>
      </w:r>
      <w:r>
        <w:rPr>
          <w:rFonts w:ascii="黑体" w:hAnsi="黑体" w:eastAsia="黑体"/>
          <w:sz w:val="84"/>
        </w:rPr>
        <w:t>算</w:t>
      </w:r>
      <w:bookmarkStart w:id="1" w:name="page3"/>
      <w:bookmarkEnd w:id="1"/>
      <w:bookmarkStart w:id="2" w:name="page2"/>
      <w:bookmarkEnd w:id="2"/>
    </w:p>
    <w:p>
      <w:pPr>
        <w:pStyle w:val="12"/>
        <w:spacing w:before="0" w:after="0" w:line="850" w:lineRule="exact"/>
        <w:ind w:firstLine="2765" w:firstLineChars="350"/>
        <w:jc w:val="left"/>
        <w:rPr>
          <w:rFonts w:ascii="黑体"/>
          <w:color w:val="000000"/>
          <w:sz w:val="79"/>
          <w:szCs w:val="79"/>
          <w:lang w:eastAsia="zh-CN"/>
        </w:rPr>
      </w:pPr>
      <w:r>
        <w:rPr>
          <w:rFonts w:ascii="黑体" w:hAnsi="黑体" w:cs="黑体"/>
          <w:color w:val="000000"/>
          <w:sz w:val="79"/>
          <w:szCs w:val="79"/>
          <w:lang w:eastAsia="zh-CN"/>
        </w:rPr>
        <w:t>目</w:t>
      </w:r>
      <w:r>
        <w:rPr>
          <w:rFonts w:ascii="黑体"/>
          <w:color w:val="000000"/>
          <w:sz w:val="79"/>
          <w:szCs w:val="79"/>
          <w:lang w:eastAsia="zh-CN"/>
        </w:rPr>
        <w:t xml:space="preserve"> </w:t>
      </w:r>
      <w:r>
        <w:rPr>
          <w:rFonts w:ascii="黑体" w:hAnsi="黑体" w:cs="黑体"/>
          <w:color w:val="000000"/>
          <w:sz w:val="79"/>
          <w:szCs w:val="79"/>
          <w:lang w:eastAsia="zh-CN"/>
        </w:rPr>
        <w:t>录</w:t>
      </w:r>
    </w:p>
    <w:p>
      <w:pPr>
        <w:pStyle w:val="12"/>
        <w:spacing w:before="908" w:after="0" w:line="449" w:lineRule="exact"/>
        <w:jc w:val="left"/>
        <w:rPr>
          <w:rFonts w:ascii="黑体"/>
          <w:color w:val="000000"/>
          <w:sz w:val="41"/>
          <w:szCs w:val="41"/>
          <w:lang w:eastAsia="zh-CN"/>
        </w:rPr>
      </w:pPr>
      <w:r>
        <w:rPr>
          <w:rFonts w:ascii="黑体" w:hAnsi="黑体" w:cs="黑体"/>
          <w:color w:val="000000"/>
          <w:spacing w:val="-1"/>
          <w:sz w:val="41"/>
          <w:szCs w:val="41"/>
          <w:lang w:eastAsia="zh-CN"/>
        </w:rPr>
        <w:t>第一部分</w:t>
      </w:r>
      <w:r>
        <w:rPr>
          <w:rFonts w:ascii="黑体"/>
          <w:color w:val="000000"/>
          <w:spacing w:val="1"/>
          <w:sz w:val="41"/>
          <w:szCs w:val="41"/>
          <w:lang w:eastAsia="zh-CN"/>
        </w:rPr>
        <w:t xml:space="preserve"> </w:t>
      </w:r>
      <w:r>
        <w:rPr>
          <w:rFonts w:hint="eastAsia" w:ascii="黑体" w:eastAsia="宋体"/>
          <w:color w:val="000000"/>
          <w:spacing w:val="1"/>
          <w:sz w:val="41"/>
          <w:szCs w:val="41"/>
          <w:lang w:eastAsia="zh-CN"/>
        </w:rPr>
        <w:t xml:space="preserve"> </w:t>
      </w:r>
      <w:r>
        <w:rPr>
          <w:rFonts w:hint="eastAsia" w:ascii="黑体" w:hAnsi="黑体" w:eastAsia="宋体" w:cs="黑体"/>
          <w:color w:val="000000"/>
          <w:sz w:val="41"/>
          <w:szCs w:val="41"/>
          <w:lang w:eastAsia="zh-CN"/>
        </w:rPr>
        <w:t>乃东区颇章乡人民政府</w:t>
      </w:r>
      <w:r>
        <w:rPr>
          <w:rFonts w:ascii="黑体" w:hAnsi="黑体" w:cs="黑体"/>
          <w:color w:val="000000"/>
          <w:sz w:val="41"/>
          <w:szCs w:val="41"/>
          <w:lang w:eastAsia="zh-CN"/>
        </w:rPr>
        <w:t>概况</w:t>
      </w:r>
    </w:p>
    <w:p>
      <w:pPr>
        <w:pStyle w:val="12"/>
        <w:spacing w:before="216" w:after="0" w:line="370" w:lineRule="exact"/>
        <w:ind w:left="720"/>
        <w:jc w:val="left"/>
        <w:rPr>
          <w:rFonts w:hint="eastAsia" w:ascii="黑体" w:eastAsia="宋体"/>
          <w:color w:val="000000"/>
          <w:sz w:val="34"/>
          <w:szCs w:val="34"/>
          <w:lang w:eastAsia="zh-CN"/>
        </w:rPr>
      </w:pPr>
      <w:r>
        <w:rPr>
          <w:rFonts w:ascii="黑体" w:hAnsi="黑体" w:cs="黑体"/>
          <w:color w:val="000000"/>
          <w:sz w:val="34"/>
          <w:szCs w:val="34"/>
          <w:lang w:eastAsia="zh-CN"/>
        </w:rPr>
        <w:t>一、</w:t>
      </w:r>
      <w:r>
        <w:rPr>
          <w:rFonts w:hint="eastAsia" w:ascii="黑体" w:hAnsi="黑体" w:eastAsia="宋体" w:cs="黑体"/>
          <w:color w:val="000000"/>
          <w:sz w:val="34"/>
          <w:szCs w:val="34"/>
          <w:lang w:eastAsia="zh-CN"/>
        </w:rPr>
        <w:t>主要职责</w:t>
      </w:r>
    </w:p>
    <w:p>
      <w:pPr>
        <w:pStyle w:val="12"/>
        <w:spacing w:before="254" w:after="0" w:line="370" w:lineRule="exact"/>
        <w:ind w:left="720"/>
        <w:jc w:val="left"/>
        <w:rPr>
          <w:rFonts w:hint="eastAsia" w:ascii="黑体" w:hAnsi="黑体" w:eastAsia="宋体" w:cs="黑体"/>
          <w:color w:val="000000"/>
          <w:sz w:val="34"/>
          <w:szCs w:val="34"/>
          <w:lang w:eastAsia="zh-CN"/>
        </w:rPr>
      </w:pPr>
      <w:r>
        <w:rPr>
          <w:rFonts w:ascii="黑体" w:hAnsi="黑体" w:cs="黑体"/>
          <w:color w:val="000000"/>
          <w:sz w:val="34"/>
          <w:szCs w:val="34"/>
          <w:lang w:eastAsia="zh-CN"/>
        </w:rPr>
        <w:t>二、</w:t>
      </w:r>
      <w:r>
        <w:rPr>
          <w:rFonts w:hint="eastAsia" w:ascii="黑体" w:hAnsi="黑体" w:eastAsia="宋体" w:cs="黑体"/>
          <w:color w:val="000000"/>
          <w:sz w:val="34"/>
          <w:szCs w:val="34"/>
          <w:lang w:eastAsia="zh-CN"/>
        </w:rPr>
        <w:t>机构设置</w:t>
      </w:r>
    </w:p>
    <w:p>
      <w:pPr>
        <w:pStyle w:val="12"/>
        <w:tabs>
          <w:tab w:val="left" w:pos="5295"/>
        </w:tabs>
        <w:spacing w:before="254" w:after="0" w:line="370" w:lineRule="exact"/>
        <w:ind w:left="720"/>
        <w:jc w:val="left"/>
        <w:rPr>
          <w:rFonts w:hint="eastAsia" w:ascii="黑体" w:eastAsia="宋体"/>
          <w:color w:val="000000"/>
          <w:sz w:val="34"/>
          <w:szCs w:val="34"/>
          <w:lang w:eastAsia="zh-CN"/>
        </w:rPr>
      </w:pPr>
      <w:r>
        <w:rPr>
          <w:rFonts w:ascii="黑体" w:hAnsi="黑体" w:eastAsia="宋体" w:cs="黑体"/>
          <w:color w:val="000000"/>
          <w:sz w:val="34"/>
          <w:szCs w:val="34"/>
          <w:lang w:eastAsia="zh-CN"/>
        </w:rPr>
        <w:tab/>
      </w:r>
    </w:p>
    <w:p>
      <w:pPr>
        <w:pStyle w:val="12"/>
        <w:spacing w:before="213" w:after="0" w:line="449" w:lineRule="exact"/>
        <w:ind w:left="1840" w:hanging="1836" w:hangingChars="450"/>
        <w:jc w:val="left"/>
        <w:rPr>
          <w:rFonts w:hint="eastAsia" w:ascii="黑体" w:eastAsia="宋体"/>
          <w:color w:val="000000"/>
          <w:sz w:val="41"/>
          <w:szCs w:val="41"/>
          <w:lang w:eastAsia="zh-CN"/>
        </w:rPr>
      </w:pPr>
      <w:r>
        <w:rPr>
          <w:rFonts w:ascii="黑体" w:hAnsi="黑体" w:cs="黑体"/>
          <w:color w:val="000000"/>
          <w:spacing w:val="-1"/>
          <w:sz w:val="41"/>
          <w:szCs w:val="41"/>
          <w:lang w:eastAsia="zh-CN"/>
        </w:rPr>
        <w:t>第二部分</w:t>
      </w:r>
      <w:r>
        <w:rPr>
          <w:rFonts w:hint="eastAsia" w:ascii="黑体" w:hAnsi="黑体" w:eastAsia="宋体" w:cs="黑体"/>
          <w:color w:val="000000"/>
          <w:spacing w:val="-1"/>
          <w:sz w:val="41"/>
          <w:szCs w:val="41"/>
          <w:lang w:eastAsia="zh-CN"/>
        </w:rPr>
        <w:t xml:space="preserve">  </w:t>
      </w:r>
      <w:r>
        <w:rPr>
          <w:rFonts w:hint="eastAsia" w:ascii="黑体" w:hAnsi="黑体" w:eastAsia="宋体" w:cs="黑体"/>
          <w:color w:val="000000"/>
          <w:sz w:val="41"/>
          <w:szCs w:val="41"/>
          <w:lang w:eastAsia="zh-CN"/>
        </w:rPr>
        <w:t>乃东区颇章乡</w:t>
      </w:r>
      <w:r>
        <w:rPr>
          <w:rFonts w:hint="eastAsia" w:ascii="黑体" w:eastAsia="宋体"/>
          <w:color w:val="000000"/>
          <w:spacing w:val="1"/>
          <w:sz w:val="41"/>
          <w:szCs w:val="41"/>
          <w:lang w:eastAsia="zh-CN"/>
        </w:rPr>
        <w:t>人民政府</w:t>
      </w:r>
      <w:r>
        <w:rPr>
          <w:rFonts w:hint="eastAsia" w:ascii="黑体" w:hAnsi="黑体" w:eastAsia="宋体" w:cs="黑体"/>
          <w:color w:val="000000"/>
          <w:spacing w:val="-1"/>
          <w:sz w:val="41"/>
          <w:szCs w:val="41"/>
          <w:lang w:eastAsia="zh-CN"/>
        </w:rPr>
        <w:t>2016年部门决算表</w:t>
      </w:r>
    </w:p>
    <w:p>
      <w:pPr>
        <w:pStyle w:val="12"/>
        <w:spacing w:before="216"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一、财政拨款收支总表</w:t>
      </w:r>
    </w:p>
    <w:p>
      <w:pPr>
        <w:pStyle w:val="12"/>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二、一般公共预算支出表</w:t>
      </w:r>
    </w:p>
    <w:p>
      <w:pPr>
        <w:pStyle w:val="12"/>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三、一般公共预算基本支出表</w:t>
      </w:r>
    </w:p>
    <w:p>
      <w:pPr>
        <w:pStyle w:val="12"/>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四、一般公共预算“三公”经费支出表</w:t>
      </w:r>
    </w:p>
    <w:p>
      <w:pPr>
        <w:pStyle w:val="12"/>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五、政府性基金预算支出表</w:t>
      </w:r>
    </w:p>
    <w:p>
      <w:pPr>
        <w:pStyle w:val="12"/>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六、部门收支总表</w:t>
      </w:r>
    </w:p>
    <w:p>
      <w:pPr>
        <w:pStyle w:val="12"/>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七、部门收入总表</w:t>
      </w:r>
    </w:p>
    <w:p>
      <w:pPr>
        <w:pStyle w:val="12"/>
        <w:spacing w:before="254" w:after="0" w:line="370" w:lineRule="exact"/>
        <w:ind w:left="720"/>
        <w:jc w:val="left"/>
        <w:rPr>
          <w:rFonts w:ascii="黑体"/>
          <w:color w:val="000000"/>
          <w:sz w:val="34"/>
          <w:szCs w:val="34"/>
          <w:lang w:eastAsia="zh-CN"/>
        </w:rPr>
      </w:pPr>
      <w:r>
        <w:rPr>
          <w:rFonts w:ascii="黑体" w:hAnsi="黑体" w:cs="黑体"/>
          <w:color w:val="000000"/>
          <w:sz w:val="34"/>
          <w:szCs w:val="34"/>
          <w:lang w:eastAsia="zh-CN"/>
        </w:rPr>
        <w:t>八、部门支出总表</w:t>
      </w:r>
    </w:p>
    <w:p>
      <w:pPr>
        <w:pStyle w:val="12"/>
        <w:spacing w:before="213" w:after="0" w:line="449" w:lineRule="exact"/>
        <w:jc w:val="left"/>
        <w:rPr>
          <w:rFonts w:hint="eastAsia" w:ascii="黑体" w:eastAsia="宋体"/>
          <w:color w:val="000000"/>
          <w:sz w:val="41"/>
          <w:szCs w:val="41"/>
          <w:lang w:eastAsia="zh-CN"/>
        </w:rPr>
      </w:pPr>
      <w:r>
        <w:rPr>
          <w:rFonts w:ascii="黑体" w:hAnsi="黑体" w:cs="黑体"/>
          <w:color w:val="000000"/>
          <w:spacing w:val="-1"/>
          <w:sz w:val="41"/>
          <w:szCs w:val="41"/>
          <w:lang w:eastAsia="zh-CN"/>
        </w:rPr>
        <w:t>第三部分</w:t>
      </w:r>
      <w:r>
        <w:rPr>
          <w:rFonts w:ascii="黑体"/>
          <w:color w:val="000000"/>
          <w:spacing w:val="1"/>
          <w:sz w:val="41"/>
          <w:szCs w:val="41"/>
          <w:lang w:eastAsia="zh-CN"/>
        </w:rPr>
        <w:t xml:space="preserve"> </w:t>
      </w:r>
      <w:r>
        <w:rPr>
          <w:rFonts w:hint="eastAsia" w:ascii="黑体" w:hAnsi="黑体" w:eastAsia="宋体" w:cs="黑体"/>
          <w:color w:val="000000"/>
          <w:sz w:val="41"/>
          <w:szCs w:val="41"/>
          <w:lang w:eastAsia="zh-CN"/>
        </w:rPr>
        <w:t>乃东区颇章乡</w:t>
      </w:r>
      <w:r>
        <w:rPr>
          <w:rFonts w:hint="eastAsia" w:ascii="黑体" w:eastAsia="宋体"/>
          <w:color w:val="000000"/>
          <w:spacing w:val="1"/>
          <w:sz w:val="41"/>
          <w:szCs w:val="41"/>
          <w:lang w:eastAsia="zh-CN"/>
        </w:rPr>
        <w:t>人民政府</w:t>
      </w:r>
      <w:r>
        <w:rPr>
          <w:rFonts w:hint="eastAsia" w:ascii="黑体" w:hAnsi="黑体" w:eastAsia="宋体" w:cs="黑体"/>
          <w:color w:val="000000"/>
          <w:spacing w:val="-1"/>
          <w:sz w:val="41"/>
          <w:szCs w:val="41"/>
          <w:lang w:eastAsia="zh-CN"/>
        </w:rPr>
        <w:t>2016年部门</w:t>
      </w:r>
    </w:p>
    <w:p>
      <w:pPr>
        <w:pStyle w:val="12"/>
        <w:spacing w:before="175" w:after="0" w:line="449" w:lineRule="exact"/>
        <w:ind w:left="1889"/>
        <w:jc w:val="left"/>
        <w:rPr>
          <w:rFonts w:ascii="黑体"/>
          <w:color w:val="000000"/>
          <w:sz w:val="41"/>
          <w:szCs w:val="41"/>
          <w:lang w:eastAsia="zh-CN"/>
        </w:rPr>
      </w:pPr>
      <w:r>
        <w:rPr>
          <w:rFonts w:hint="eastAsia" w:ascii="黑体" w:hAnsi="黑体" w:eastAsia="宋体" w:cs="黑体"/>
          <w:color w:val="000000"/>
          <w:spacing w:val="-1"/>
          <w:sz w:val="41"/>
          <w:szCs w:val="41"/>
          <w:lang w:eastAsia="zh-CN"/>
        </w:rPr>
        <w:t>决算数据分析</w:t>
      </w:r>
      <w:r>
        <w:rPr>
          <w:rFonts w:ascii="黑体" w:hAnsi="黑体" w:cs="黑体"/>
          <w:color w:val="000000"/>
          <w:spacing w:val="-1"/>
          <w:sz w:val="41"/>
          <w:szCs w:val="41"/>
          <w:lang w:eastAsia="zh-CN"/>
        </w:rPr>
        <w:t>据分析</w:t>
      </w:r>
    </w:p>
    <w:p>
      <w:pPr>
        <w:pStyle w:val="12"/>
        <w:spacing w:before="175" w:after="0" w:line="449" w:lineRule="exact"/>
        <w:jc w:val="left"/>
        <w:rPr>
          <w:rFonts w:hint="eastAsia" w:ascii="黑体" w:eastAsia="宋体"/>
          <w:color w:val="000000"/>
          <w:sz w:val="41"/>
          <w:szCs w:val="41"/>
          <w:lang w:eastAsia="zh-CN"/>
        </w:rPr>
        <w:sectPr>
          <w:pgSz w:w="11900" w:h="16820"/>
          <w:pgMar w:top="1440" w:right="1800" w:bottom="1440" w:left="1800" w:header="720" w:footer="720" w:gutter="0"/>
          <w:pgNumType w:start="1"/>
          <w:cols w:space="720" w:num="1"/>
          <w:docGrid w:linePitch="1" w:charSpace="0"/>
        </w:sectPr>
      </w:pPr>
      <w:r>
        <w:rPr>
          <w:rFonts w:ascii="黑体" w:hAnsi="黑体" w:cs="黑体"/>
          <w:color w:val="000000"/>
          <w:spacing w:val="-1"/>
          <w:sz w:val="41"/>
          <w:szCs w:val="41"/>
          <w:lang w:eastAsia="zh-CN"/>
        </w:rPr>
        <w:t>第四部分</w:t>
      </w:r>
      <w:r>
        <w:rPr>
          <w:rFonts w:ascii="黑体"/>
          <w:color w:val="000000"/>
          <w:spacing w:val="1"/>
          <w:sz w:val="41"/>
          <w:szCs w:val="41"/>
          <w:lang w:eastAsia="zh-CN"/>
        </w:rPr>
        <w:t xml:space="preserve"> </w:t>
      </w:r>
      <w:r>
        <w:rPr>
          <w:rFonts w:hint="eastAsia" w:ascii="黑体" w:hAnsi="黑体" w:eastAsia="宋体" w:cs="黑体"/>
          <w:color w:val="000000"/>
          <w:sz w:val="41"/>
          <w:szCs w:val="41"/>
          <w:lang w:eastAsia="zh-CN"/>
        </w:rPr>
        <w:t>名词解释</w:t>
      </w:r>
    </w:p>
    <w:p>
      <w:pPr>
        <w:spacing w:line="959" w:lineRule="exact"/>
        <w:ind w:right="-13"/>
        <w:rPr>
          <w:rFonts w:hint="eastAsia" w:ascii="黑体" w:hAnsi="黑体" w:eastAsia="黑体"/>
          <w:sz w:val="84"/>
        </w:rPr>
      </w:pPr>
    </w:p>
    <w:p>
      <w:pPr>
        <w:spacing w:line="959" w:lineRule="exact"/>
        <w:ind w:right="-13"/>
        <w:rPr>
          <w:rFonts w:hint="eastAsia" w:ascii="黑体" w:hAnsi="黑体" w:eastAsia="黑体"/>
          <w:sz w:val="84"/>
        </w:rPr>
      </w:pPr>
    </w:p>
    <w:p>
      <w:pPr>
        <w:spacing w:line="959" w:lineRule="exact"/>
        <w:ind w:right="-13" w:firstLine="2940" w:firstLineChars="350"/>
        <w:rPr>
          <w:rFonts w:ascii="黑体" w:hAnsi="黑体" w:eastAsia="黑体"/>
          <w:sz w:val="84"/>
        </w:rPr>
      </w:pPr>
      <w:r>
        <w:rPr>
          <w:rFonts w:ascii="黑体" w:hAnsi="黑体" w:eastAsia="黑体"/>
          <w:sz w:val="84"/>
        </w:rPr>
        <w:t>第一部分</w:t>
      </w:r>
    </w:p>
    <w:p>
      <w:pPr>
        <w:spacing w:line="959" w:lineRule="exact"/>
        <w:ind w:right="-13"/>
        <w:jc w:val="center"/>
        <w:rPr>
          <w:rFonts w:hint="eastAsia" w:ascii="黑体" w:hAnsi="黑体" w:eastAsia="黑体"/>
          <w:sz w:val="84"/>
        </w:rPr>
      </w:pPr>
    </w:p>
    <w:p>
      <w:pPr>
        <w:spacing w:line="947" w:lineRule="exact"/>
        <w:ind w:right="-13" w:firstLine="747" w:firstLineChars="100"/>
        <w:jc w:val="both"/>
        <w:rPr>
          <w:rFonts w:ascii="黑体" w:hAnsi="黑体" w:eastAsia="黑体"/>
          <w:w w:val="90"/>
          <w:sz w:val="83"/>
        </w:rPr>
      </w:pPr>
      <w:r>
        <w:rPr>
          <w:rFonts w:hint="eastAsia" w:ascii="黑体" w:hAnsi="黑体" w:eastAsia="黑体"/>
          <w:w w:val="90"/>
          <w:sz w:val="83"/>
        </w:rPr>
        <w:t>山南市乃东区颇章乡</w:t>
      </w:r>
      <w:r>
        <w:rPr>
          <w:rFonts w:ascii="黑体" w:hAnsi="黑体" w:eastAsia="黑体"/>
          <w:w w:val="90"/>
          <w:sz w:val="83"/>
        </w:rPr>
        <w:t>概况</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0" w:lineRule="atLeast"/>
        <w:ind w:right="-13"/>
        <w:rPr>
          <w:rFonts w:hint="eastAsia"/>
          <w:sz w:val="18"/>
        </w:rPr>
        <w:sectPr>
          <w:footerReference r:id="rId3" w:type="default"/>
          <w:pgSz w:w="11900" w:h="16838"/>
          <w:pgMar w:top="1440" w:right="1080" w:bottom="1440" w:left="1080" w:header="0" w:footer="0" w:gutter="0"/>
          <w:pgNumType w:fmt="numberInDash" w:start="1"/>
          <w:cols w:space="720" w:num="1"/>
          <w:docGrid w:linePitch="360" w:charSpace="0"/>
        </w:sectPr>
      </w:pPr>
    </w:p>
    <w:p>
      <w:pPr>
        <w:spacing w:line="81" w:lineRule="exact"/>
        <w:rPr>
          <w:rFonts w:eastAsia="Times New Roman"/>
        </w:rPr>
      </w:pPr>
      <w:bookmarkStart w:id="3" w:name="page4"/>
      <w:bookmarkEnd w:id="3"/>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根据西藏自治区机构编制委员会 《关于印发&lt;西藏自治区关于开展乡（镇）机构改革 进一步加强乡（镇）组织和政权建设的意见&gt;的通知》（藏机编发[2012]23号）和中共山南地委 山南地区行署《关于印发山南地区乡镇机构改革方案的通知》（山委[2012]89号）精神，将昌珠镇机关、派驻政法机构和事业单位主要职责、机构设置和人员编制规定如下：</w:t>
      </w:r>
    </w:p>
    <w:p>
      <w:pPr>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一、主要职责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1、宣传和执行党的路线、方针、政策，宣传和执行党中央 、上级组织和本机组织的决议，充分发挥党员的先锋模范作用。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2、在本镇内，保证宪法、法律、行政法规和上级人民代表及其常务委员会决议的遵守和执行。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执行本级人民代表大会的决议和上级国家行政机关的决定和命令；执行本镇内经济和社会发展计划、预算，管理本镇内的经济、教育、科学、文化、卫生、体育事业和财政、民政、公安、司法行政、计划生育等行政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4、对党员进行教育、管理和监督，提高党员素质，增强党性，严格党的组织生活，维护和执行党的纪律，监督党员切实履行义务，保障党员的权力不受侵犯。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5、密切联系群众，经常了解群众对党员、党的工作的批评和意见，维护群众的正当权利和利益，做好群众的思想政治工作。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6、监督党员干部和其他国家工作人员严格遵守国家的财政经济法规和人事制度。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7、根据国家计划，制定本镇内的经济、文化事业和公共事业的建设计划并组织实施。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8、承办区委、区人大、区政府、区政协交办的其他事项。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 内设机构</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根据上述职责，西藏山南市乃东区颇章乡设5个内设机构（不定级别）：</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1、党群综合办公室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党委、人大、政府和群团组织的各项日常工作和党的基层组织建设、经济社会事业发展规划制定，纪检监察、组织人事、宣传、统一战线、精神文明建设、工青妇及党内统计等工作。协调社会管理综合治理相关工作和与经济社会发展相关工作，负责政务信息、经济社会发展相关统计、政务监督等工作。内部可设置人大、纪检、组织、宣传、统战、文秘、党内统计、经济发展规划、社会事业发展规划、政务信息、政务监督、政务统计、文秘等岗位。按照有关规定配备团委书记和妇联主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经济发展办公室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主要职责：主要承担经济结构调整、基础设施建设、财经、扶贫开发、防汛抗旱救灾、动植物防疫、安全生产等工作。内部可设置经济产业发展、资源管理等岗位。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3、社会事务办公室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主要职责：主要承担文化卫生、教育体育、科学技术、优生优育、村镇规划建设、民政事务、残疾人保障、劳动就业和社会保障、环境保护等工作。内部可设置科教文卫、民政、社会服务等岗位。</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维护稳定和社会综合治理办公室</w:t>
      </w:r>
    </w:p>
    <w:p>
      <w:pPr>
        <w:ind w:firstLine="600"/>
        <w:rPr>
          <w:rFonts w:hint="eastAsia" w:ascii="仿宋" w:hAnsi="仿宋" w:eastAsia="仿宋" w:cs="仿宋"/>
          <w:sz w:val="32"/>
          <w:szCs w:val="32"/>
        </w:rPr>
      </w:pPr>
      <w:r>
        <w:rPr>
          <w:rFonts w:hint="eastAsia" w:ascii="仿宋" w:hAnsi="仿宋" w:eastAsia="仿宋" w:cs="仿宋"/>
          <w:sz w:val="32"/>
          <w:szCs w:val="32"/>
        </w:rPr>
        <w:t>主要职责：主要承担人民武装、社会管理综合治理、信访、矛盾纠纷排查调处、民族宗教、寺庙管理、安置帮教、群防群治组织建设等工作。协调与维护稳定相关工作。内部可设置人民武装、综合治理、民族宗教、信访调解员等岗位。</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财政所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主要职责：主要承担乡镇财政预算的制定和财务日常管理工作，监督管理村居委会财务收支和村财公开事宜。内部可设置预决算、社保、农业、会计、出纳等岗位。</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（二）事业机构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西藏山南市乃东区颇章乡设4个事业机构（副科级）。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1、卫生院（优生优育服务站）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主要职责：主要承担乡镇医疗、保健、疾病预防和优生优育技术服务等工作。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 农牧服务综合中心（畜牧兽医服务中心）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主要职责:主要承担乡镇农牧技术推广、农机、种子推广、科技培训、蔬菜种植、草原管理、畜牧兽医、兽防、野生动物保护、渔业、林业和水利等工作。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3、文化服务中心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主要职责：主要承担远程教育站点的维护使用和乡镇文化、广播、电影、电视、图书、群众教育等工作。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4、机关后勤服务中心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主要职责：负责乡镇机关后勤保障工作。</w:t>
      </w:r>
    </w:p>
    <w:p>
      <w:pPr>
        <w:numPr>
          <w:ilvl w:val="0"/>
          <w:numId w:val="2"/>
        </w:numPr>
        <w:tabs>
          <w:tab w:val="left" w:pos="767"/>
        </w:tabs>
        <w:ind w:firstLine="640" w:firstLineChars="200"/>
        <w:rPr>
          <w:rFonts w:hint="eastAsia" w:ascii="仿宋" w:hAnsi="仿宋" w:eastAsia="仿宋" w:cs="仿宋"/>
          <w:sz w:val="32"/>
          <w:szCs w:val="32"/>
        </w:rPr>
      </w:pPr>
      <w:r>
        <w:rPr>
          <w:rFonts w:hint="eastAsia" w:ascii="仿宋" w:hAnsi="仿宋" w:eastAsia="仿宋" w:cs="仿宋"/>
          <w:sz w:val="32"/>
          <w:szCs w:val="32"/>
        </w:rPr>
        <w:t>派驻政法机构</w:t>
      </w:r>
    </w:p>
    <w:p>
      <w:pPr>
        <w:rPr>
          <w:rFonts w:hint="eastAsia" w:ascii="仿宋" w:hAnsi="仿宋" w:eastAsia="仿宋" w:cs="仿宋"/>
          <w:sz w:val="32"/>
          <w:szCs w:val="32"/>
        </w:rPr>
      </w:pPr>
      <w:r>
        <w:rPr>
          <w:rFonts w:hint="eastAsia" w:ascii="仿宋" w:hAnsi="仿宋" w:eastAsia="仿宋" w:cs="仿宋"/>
          <w:sz w:val="32"/>
          <w:szCs w:val="32"/>
        </w:rPr>
        <w:t xml:space="preserve">          西藏山南市乃东区颇章乡设2个派驻政法机构：</w:t>
      </w:r>
    </w:p>
    <w:p>
      <w:pPr>
        <w:rPr>
          <w:rFonts w:hint="eastAsia" w:ascii="仿宋" w:hAnsi="仿宋" w:eastAsia="仿宋" w:cs="仿宋"/>
          <w:sz w:val="32"/>
          <w:szCs w:val="32"/>
        </w:rPr>
      </w:pPr>
      <w:r>
        <w:rPr>
          <w:rFonts w:hint="eastAsia" w:ascii="仿宋" w:hAnsi="仿宋" w:eastAsia="仿宋" w:cs="仿宋"/>
          <w:sz w:val="32"/>
          <w:szCs w:val="32"/>
        </w:rPr>
        <w:t xml:space="preserve">     1、公安派出所（正科级）</w:t>
      </w:r>
    </w:p>
    <w:p>
      <w:pPr>
        <w:rPr>
          <w:rFonts w:hint="eastAsia" w:ascii="仿宋" w:hAnsi="仿宋" w:eastAsia="仿宋" w:cs="仿宋"/>
          <w:sz w:val="32"/>
          <w:szCs w:val="32"/>
        </w:rPr>
      </w:pPr>
      <w:r>
        <w:rPr>
          <w:rFonts w:hint="eastAsia" w:ascii="仿宋" w:hAnsi="仿宋" w:eastAsia="仿宋" w:cs="仿宋"/>
          <w:sz w:val="32"/>
          <w:szCs w:val="32"/>
        </w:rPr>
        <w:t xml:space="preserve">     主要职责：负责对派出所辖区内各地段、各部位实行治安管理，行使治安行政权，治安管理处罚权、治安案件调查权；执行社会监督，履行监督考察权，治安行政强制权，使用秘密手段和使用武器、警械权，开展以治保会为主体和多层次的裙纸工作；协助侦破及辖区内发生的刑事案件。</w:t>
      </w:r>
    </w:p>
    <w:p>
      <w:pPr>
        <w:widowControl w:val="0"/>
        <w:ind w:firstLine="640" w:firstLineChars="200"/>
        <w:jc w:val="both"/>
        <w:rPr>
          <w:rFonts w:hint="eastAsia" w:ascii="仿宋" w:hAnsi="仿宋" w:eastAsia="仿宋" w:cs="仿宋_GB2312"/>
          <w:sz w:val="32"/>
          <w:szCs w:val="32"/>
        </w:rPr>
      </w:pPr>
      <w:r>
        <w:rPr>
          <w:rFonts w:hint="eastAsia" w:ascii="仿宋" w:hAnsi="仿宋" w:eastAsia="仿宋" w:cs="仿宋"/>
          <w:sz w:val="32"/>
          <w:szCs w:val="32"/>
        </w:rPr>
        <w:t>2、</w:t>
      </w:r>
      <w:r>
        <w:rPr>
          <w:rFonts w:hint="eastAsia" w:ascii="仿宋" w:hAnsi="仿宋" w:eastAsia="仿宋" w:cs="仿宋_GB2312"/>
          <w:sz w:val="32"/>
          <w:szCs w:val="32"/>
        </w:rPr>
        <w:t>颇章乡人民法院（副科级）</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主要职责：审理各类民商事案件，指导村人民调解委员会工作，协助本院开展法制宣传教育工作，协助本院参与执行案件，办理本院交办的其他事项。人民法庭应当严格依法履行职责，不得超越审判职权参与行政执法活动、地方经济事务和其他与审判无关的事务；人民法庭审理案件，应当将调解贯穿案件审理的全过程，做到能调则调、当判则判、调判结合、案结事了；人民法庭除在法庭所在地对案件进行开庭审理外，还根据院里按安排在案件发生地、当事人所在地域巡回审判点对案件进行巡回审理。</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 xml:space="preserve">山南市乃东区颇章乡 </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14"/>
        <w:gridCol w:w="1624"/>
        <w:gridCol w:w="1274"/>
        <w:gridCol w:w="1350"/>
        <w:gridCol w:w="1350"/>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138"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274"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568"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138"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192"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6,126,398.50</w:t>
            </w: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5,660,881.50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5,660,881.50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395,517.00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395,517.00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6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6,126,398.50</w:t>
            </w:r>
          </w:p>
        </w:tc>
        <w:tc>
          <w:tcPr>
            <w:tcW w:w="12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6,126,398.50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6,126,398.50</w:t>
            </w:r>
          </w:p>
        </w:tc>
        <w:tc>
          <w:tcPr>
            <w:tcW w:w="12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24"/>
        <w:gridCol w:w="1506"/>
        <w:gridCol w:w="1290"/>
        <w:gridCol w:w="1290"/>
        <w:gridCol w:w="1297"/>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03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387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42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42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2130199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其他农业支出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6,126,398.50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6,056,398.50</w:t>
            </w:r>
          </w:p>
        </w:tc>
        <w:tc>
          <w:tcPr>
            <w:tcW w:w="12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14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p/>
    <w:p/>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69"/>
        <w:gridCol w:w="1398"/>
        <w:gridCol w:w="1481"/>
        <w:gridCol w:w="1350"/>
        <w:gridCol w:w="1474"/>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shd w:val="clear"/>
            <w:vAlign w:val="center"/>
          </w:tcPr>
          <w:p>
            <w:pPr>
              <w:jc w:val="both"/>
              <w:rPr>
                <w:rFonts w:hint="eastAsia" w:ascii="宋体" w:hAnsi="宋体" w:eastAsia="宋体" w:cs="宋体"/>
                <w:i w:val="0"/>
                <w:color w:val="000000"/>
                <w:sz w:val="21"/>
                <w:szCs w:val="21"/>
                <w:u w:val="none"/>
              </w:rPr>
            </w:pPr>
          </w:p>
        </w:tc>
        <w:tc>
          <w:tcPr>
            <w:tcW w:w="1398" w:type="dxa"/>
            <w:shd w:val="clear"/>
            <w:vAlign w:val="center"/>
          </w:tcPr>
          <w:p>
            <w:pPr>
              <w:rPr>
                <w:rFonts w:hint="eastAsia" w:ascii="宋体" w:hAnsi="宋体" w:eastAsia="宋体" w:cs="宋体"/>
                <w:i w:val="0"/>
                <w:color w:val="000000"/>
                <w:sz w:val="22"/>
                <w:szCs w:val="22"/>
                <w:u w:val="none"/>
              </w:rPr>
            </w:pPr>
          </w:p>
        </w:tc>
        <w:tc>
          <w:tcPr>
            <w:tcW w:w="1481"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2732"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3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12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4,586,396.00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4,586,396.00</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1,033,335.00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1,033,335.00</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3,388,660.00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3,388,660.00</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132,800.00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132,800.00</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31,601.00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31,601.00</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1,122,633.00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1,122,633.00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186,894.88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186,894.88</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430,000.00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21,944.34</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21,944.34</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42,040.00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42,040.00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41,808.00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41,808.00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7,280.00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398"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26,333.00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26,333.00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60,973.06</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60,973.06</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5,359.72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5,359.72</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347,369.50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347,369.50</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345,517.00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345,517.00</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1,852.50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1,852.50</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7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6,056,398.50 </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4,933,765.50 </w:t>
            </w:r>
          </w:p>
        </w:tc>
        <w:tc>
          <w:tcPr>
            <w:tcW w:w="1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1,122,633.00</w:t>
            </w:r>
          </w:p>
        </w:tc>
        <w:tc>
          <w:tcPr>
            <w:tcW w:w="12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60,973.06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60,973.06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60,973.06</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60973.06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60973.06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60,973.06</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919"/>
        <w:gridCol w:w="3044"/>
        <w:gridCol w:w="1017"/>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2919"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44" w:type="dxa"/>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1017" w:type="dxa"/>
            <w:shd w:val="cle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350" w:type="dxa"/>
            <w:shd w:val="cle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19" w:type="dxa"/>
            <w:shd w:val="clear"/>
            <w:vAlign w:val="center"/>
          </w:tcPr>
          <w:p>
            <w:pPr>
              <w:jc w:val="left"/>
              <w:rPr>
                <w:rFonts w:hint="eastAsia" w:ascii="宋体" w:hAnsi="宋体" w:eastAsia="宋体" w:cs="宋体"/>
                <w:i w:val="0"/>
                <w:color w:val="000000"/>
                <w:sz w:val="21"/>
                <w:szCs w:val="21"/>
                <w:u w:val="none"/>
              </w:rPr>
            </w:pPr>
          </w:p>
        </w:tc>
        <w:tc>
          <w:tcPr>
            <w:tcW w:w="3044" w:type="dxa"/>
            <w:shd w:val="clear"/>
            <w:vAlign w:val="center"/>
          </w:tcPr>
          <w:p>
            <w:pPr>
              <w:rPr>
                <w:rFonts w:hint="eastAsia" w:ascii="宋体" w:hAnsi="宋体" w:eastAsia="宋体" w:cs="宋体"/>
                <w:i w:val="0"/>
                <w:color w:val="000000"/>
                <w:sz w:val="22"/>
                <w:szCs w:val="22"/>
                <w:u w:val="none"/>
              </w:rPr>
            </w:pPr>
          </w:p>
        </w:tc>
        <w:tc>
          <w:tcPr>
            <w:tcW w:w="1017"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96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3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6,126,398.50</w:t>
            </w: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5,660,881.50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395,517.00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6,126,398.50</w:t>
            </w: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6,126,398.50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6,126,398.50 </w:t>
            </w:r>
          </w:p>
        </w:tc>
        <w:tc>
          <w:tcPr>
            <w:tcW w:w="10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6,126,398.50 </w:t>
            </w:r>
          </w:p>
        </w:tc>
      </w:tr>
    </w:tbl>
    <w:p/>
    <w:p/>
    <w:p/>
    <w:p/>
    <w:p/>
    <w:p/>
    <w:p/>
    <w:p/>
    <w:tbl>
      <w:tblPr>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8"/>
        <w:gridCol w:w="1057"/>
        <w:gridCol w:w="1290"/>
        <w:gridCol w:w="339"/>
        <w:gridCol w:w="1422"/>
        <w:gridCol w:w="787"/>
        <w:gridCol w:w="339"/>
        <w:gridCol w:w="471"/>
        <w:gridCol w:w="405"/>
        <w:gridCol w:w="471"/>
        <w:gridCol w:w="339"/>
        <w:gridCol w:w="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8330"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057"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339" w:type="dxa"/>
            <w:shd w:val="clear"/>
            <w:vAlign w:val="center"/>
          </w:tcPr>
          <w:p>
            <w:pPr>
              <w:rPr>
                <w:rFonts w:hint="eastAsia" w:ascii="宋体" w:hAnsi="宋体" w:eastAsia="宋体" w:cs="宋体"/>
                <w:i w:val="0"/>
                <w:color w:val="000000"/>
                <w:sz w:val="22"/>
                <w:szCs w:val="22"/>
                <w:u w:val="none"/>
              </w:rPr>
            </w:pPr>
          </w:p>
        </w:tc>
        <w:tc>
          <w:tcPr>
            <w:tcW w:w="1422" w:type="dxa"/>
            <w:shd w:val="clear"/>
            <w:vAlign w:val="center"/>
          </w:tcPr>
          <w:p>
            <w:pPr>
              <w:rPr>
                <w:rFonts w:hint="eastAsia" w:ascii="宋体" w:hAnsi="宋体" w:eastAsia="宋体" w:cs="宋体"/>
                <w:i w:val="0"/>
                <w:color w:val="000000"/>
                <w:sz w:val="22"/>
                <w:szCs w:val="22"/>
                <w:u w:val="none"/>
              </w:rPr>
            </w:pPr>
          </w:p>
        </w:tc>
        <w:tc>
          <w:tcPr>
            <w:tcW w:w="787" w:type="dxa"/>
            <w:shd w:val="clear"/>
            <w:vAlign w:val="center"/>
          </w:tcPr>
          <w:p>
            <w:pPr>
              <w:rPr>
                <w:rFonts w:hint="eastAsia" w:ascii="宋体" w:hAnsi="宋体" w:eastAsia="宋体" w:cs="宋体"/>
                <w:i w:val="0"/>
                <w:color w:val="000000"/>
                <w:sz w:val="22"/>
                <w:szCs w:val="22"/>
                <w:u w:val="none"/>
              </w:rPr>
            </w:pPr>
          </w:p>
        </w:tc>
        <w:tc>
          <w:tcPr>
            <w:tcW w:w="339" w:type="dxa"/>
            <w:shd w:val="clear"/>
            <w:vAlign w:val="center"/>
          </w:tcPr>
          <w:p>
            <w:pPr>
              <w:rPr>
                <w:rFonts w:hint="eastAsia" w:ascii="宋体" w:hAnsi="宋体" w:eastAsia="宋体" w:cs="宋体"/>
                <w:i w:val="0"/>
                <w:color w:val="000000"/>
                <w:sz w:val="22"/>
                <w:szCs w:val="22"/>
                <w:u w:val="none"/>
              </w:rPr>
            </w:pPr>
          </w:p>
        </w:tc>
        <w:tc>
          <w:tcPr>
            <w:tcW w:w="471" w:type="dxa"/>
            <w:shd w:val="clear"/>
            <w:vAlign w:val="center"/>
          </w:tcPr>
          <w:p>
            <w:pPr>
              <w:rPr>
                <w:rFonts w:hint="eastAsia" w:ascii="宋体" w:hAnsi="宋体" w:eastAsia="宋体" w:cs="宋体"/>
                <w:i w:val="0"/>
                <w:color w:val="000000"/>
                <w:sz w:val="22"/>
                <w:szCs w:val="22"/>
                <w:u w:val="none"/>
              </w:rPr>
            </w:pPr>
          </w:p>
        </w:tc>
        <w:tc>
          <w:tcPr>
            <w:tcW w:w="405" w:type="dxa"/>
            <w:shd w:val="clear"/>
            <w:vAlign w:val="center"/>
          </w:tcPr>
          <w:p>
            <w:pPr>
              <w:rPr>
                <w:rFonts w:hint="eastAsia" w:ascii="宋体" w:hAnsi="宋体" w:eastAsia="宋体" w:cs="宋体"/>
                <w:i w:val="0"/>
                <w:color w:val="000000"/>
                <w:sz w:val="22"/>
                <w:szCs w:val="22"/>
                <w:u w:val="none"/>
              </w:rPr>
            </w:pPr>
          </w:p>
        </w:tc>
        <w:tc>
          <w:tcPr>
            <w:tcW w:w="471" w:type="dxa"/>
            <w:shd w:val="clear"/>
            <w:vAlign w:val="center"/>
          </w:tcPr>
          <w:p>
            <w:pPr>
              <w:rPr>
                <w:rFonts w:hint="eastAsia" w:ascii="宋体" w:hAnsi="宋体" w:eastAsia="宋体" w:cs="宋体"/>
                <w:i w:val="0"/>
                <w:color w:val="000000"/>
                <w:sz w:val="22"/>
                <w:szCs w:val="22"/>
                <w:u w:val="none"/>
              </w:rPr>
            </w:pPr>
          </w:p>
        </w:tc>
        <w:tc>
          <w:tcPr>
            <w:tcW w:w="911"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18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2130199</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其他农业支出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8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0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89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6,126,398.50</w:t>
            </w: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6,126,398.50</w:t>
            </w:r>
          </w:p>
        </w:tc>
        <w:tc>
          <w:tcPr>
            <w:tcW w:w="78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7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p>
      <w:pPr>
        <w:rPr>
          <w:rFonts w:ascii="仿宋_GB2312" w:hAnsi="仿宋_GB2312" w:eastAsia="仿宋_GB2312" w:cs="仿宋_GB2312"/>
          <w:sz w:val="32"/>
          <w:szCs w:val="32"/>
        </w:r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58"/>
        <w:gridCol w:w="1705"/>
        <w:gridCol w:w="1290"/>
        <w:gridCol w:w="1290"/>
        <w:gridCol w:w="975"/>
        <w:gridCol w:w="675"/>
        <w:gridCol w:w="849"/>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330" w:type="dxa"/>
            <w:gridSpan w:val="8"/>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58" w:type="dxa"/>
            <w:shd w:val="clear"/>
            <w:vAlign w:val="center"/>
          </w:tcPr>
          <w:p>
            <w:pPr>
              <w:jc w:val="left"/>
              <w:rPr>
                <w:rFonts w:hint="eastAsia" w:ascii="宋体" w:hAnsi="宋体" w:eastAsia="宋体" w:cs="宋体"/>
                <w:i w:val="0"/>
                <w:color w:val="000000"/>
                <w:sz w:val="21"/>
                <w:szCs w:val="21"/>
                <w:u w:val="none"/>
              </w:rPr>
            </w:pPr>
          </w:p>
        </w:tc>
        <w:tc>
          <w:tcPr>
            <w:tcW w:w="1705"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975" w:type="dxa"/>
            <w:shd w:val="clear"/>
            <w:vAlign w:val="center"/>
          </w:tcPr>
          <w:p>
            <w:pPr>
              <w:rPr>
                <w:rFonts w:hint="eastAsia" w:ascii="宋体" w:hAnsi="宋体" w:eastAsia="宋体" w:cs="宋体"/>
                <w:i w:val="0"/>
                <w:color w:val="000000"/>
                <w:sz w:val="22"/>
                <w:szCs w:val="22"/>
                <w:u w:val="none"/>
              </w:rPr>
            </w:pPr>
          </w:p>
        </w:tc>
        <w:tc>
          <w:tcPr>
            <w:tcW w:w="675" w:type="dxa"/>
            <w:shd w:val="clear"/>
            <w:vAlign w:val="center"/>
          </w:tcPr>
          <w:p>
            <w:pPr>
              <w:rPr>
                <w:rFonts w:hint="eastAsia" w:ascii="宋体" w:hAnsi="宋体" w:eastAsia="宋体" w:cs="宋体"/>
                <w:i w:val="0"/>
                <w:color w:val="000000"/>
                <w:sz w:val="22"/>
                <w:szCs w:val="22"/>
                <w:u w:val="none"/>
              </w:rPr>
            </w:pPr>
          </w:p>
        </w:tc>
        <w:tc>
          <w:tcPr>
            <w:tcW w:w="1437"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66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5,660,881.50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2130199</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其他农业支出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395,517.00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66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6,126,398.50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6,056,398.50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70,000.00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 xml:space="preserve">山南市乃东区颇章乡 </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5660881.5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395517元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5660881.5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92.4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70000元，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395517元，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6.46</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5660881.50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政府办公厅（室）及相关机构事务5660881.50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5660881.5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4586395</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1122633</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347369.5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农林水支出70000元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1、农业支出50000元。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（1）其他农业支出50000元。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2、扶贫支出20000元。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（1）行政运行20000元。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其他支出395517元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1、其他支出395517元。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（1）其他支出395517元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6056398.5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4589396</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75.73</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1122633</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18.54</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347369.5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5.73</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60973.06</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60973.06</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60973.06</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5660881.5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395517元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6126398.5</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5660881.5</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92.4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70000元，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395517元，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6.46</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bookmarkStart w:id="4" w:name="_GoBack"/>
      <w:bookmarkEnd w:id="4"/>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5"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4 -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54F2"/>
    <w:multiLevelType w:val="singleLevel"/>
    <w:tmpl w:val="592554F2"/>
    <w:lvl w:ilvl="0" w:tentative="0">
      <w:start w:val="4"/>
      <w:numFmt w:val="decimal"/>
      <w:suff w:val="nothing"/>
      <w:lvlText w:val="%1、"/>
      <w:lvlJc w:val="left"/>
    </w:lvl>
  </w:abstractNum>
  <w:abstractNum w:abstractNumId="1">
    <w:nsid w:val="5925599B"/>
    <w:multiLevelType w:val="singleLevel"/>
    <w:tmpl w:val="5925599B"/>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13F106A8"/>
    <w:rsid w:val="1D9E79D6"/>
    <w:rsid w:val="26E57E8B"/>
    <w:rsid w:val="28265A2A"/>
    <w:rsid w:val="28D878CD"/>
    <w:rsid w:val="396D5533"/>
    <w:rsid w:val="3EDC4B6D"/>
    <w:rsid w:val="3EE36A25"/>
    <w:rsid w:val="43603CEB"/>
    <w:rsid w:val="44890A8C"/>
    <w:rsid w:val="45222F42"/>
    <w:rsid w:val="461360DA"/>
    <w:rsid w:val="472A34F9"/>
    <w:rsid w:val="48B676D7"/>
    <w:rsid w:val="4B020017"/>
    <w:rsid w:val="609D6910"/>
    <w:rsid w:val="66516B3F"/>
    <w:rsid w:val="699A1B94"/>
    <w:rsid w:val="6C92316B"/>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5</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2018-12-30T07:30:23Z</cp:lastPrinted>
  <dcterms:modified xsi:type="dcterms:W3CDTF">2018-12-30T08:40:02Z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