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西藏山南市乃东区索珠乡</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西藏山南市乃东区索珠乡2017年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西藏山南市乃东区索珠乡2017年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ind w:firstLine="640" w:firstLineChars="200"/>
        <w:rPr>
          <w:rFonts w:ascii="仿宋_GB2312" w:hAnsi="仿宋" w:eastAsia="仿宋_GB2312"/>
          <w:sz w:val="32"/>
          <w:szCs w:val="32"/>
        </w:rPr>
      </w:pPr>
      <w:r>
        <w:rPr>
          <w:rFonts w:hint="eastAsia" w:ascii="仿宋_GB2312" w:hAnsi="仿宋" w:eastAsia="仿宋_GB2312"/>
          <w:sz w:val="32"/>
          <w:szCs w:val="32"/>
        </w:rPr>
        <w:t xml:space="preserve">根据西藏自治区机构编制委员会《关于印发〈西藏自治区关于开展乡（镇）机构改革 进一步加强乡（镇）组织和政权建设的意见〉的通知》（藏机编发〔2012〕23号）和中共山南地委 </w:t>
      </w:r>
      <w:r>
        <w:rPr>
          <w:rFonts w:hint="eastAsia" w:ascii="仿宋_GB2312" w:hAnsi="仿宋" w:eastAsia="仿宋_GB2312"/>
          <w:sz w:val="32"/>
          <w:szCs w:val="32"/>
          <w:lang w:eastAsia="zh-CN"/>
        </w:rPr>
        <w:t>山南市</w:t>
      </w:r>
      <w:r>
        <w:rPr>
          <w:rFonts w:hint="eastAsia" w:ascii="仿宋_GB2312" w:hAnsi="仿宋" w:eastAsia="仿宋_GB2312"/>
          <w:sz w:val="32"/>
          <w:szCs w:val="32"/>
        </w:rPr>
        <w:t>行署《关于印发〈</w:t>
      </w:r>
      <w:r>
        <w:rPr>
          <w:rFonts w:hint="eastAsia" w:ascii="仿宋_GB2312" w:hAnsi="仿宋" w:eastAsia="仿宋_GB2312"/>
          <w:sz w:val="32"/>
          <w:szCs w:val="32"/>
          <w:lang w:eastAsia="zh-CN"/>
        </w:rPr>
        <w:t>山南市</w:t>
      </w:r>
      <w:r>
        <w:rPr>
          <w:rFonts w:hint="eastAsia" w:ascii="仿宋_GB2312" w:hAnsi="仿宋" w:eastAsia="仿宋_GB2312"/>
          <w:sz w:val="32"/>
          <w:szCs w:val="32"/>
        </w:rPr>
        <w:t>乡（镇）机构改革方案〉的通知》（山委〔2012〕89号）精神，将亚堆乡机关、派驻政法机构和事业单位主要职责、机构设置和人员编制规定如下：</w:t>
      </w:r>
    </w:p>
    <w:p>
      <w:pPr>
        <w:pStyle w:val="14"/>
        <w:numPr>
          <w:ilvl w:val="0"/>
          <w:numId w:val="1"/>
        </w:numPr>
        <w:ind w:left="0" w:leftChars="0" w:firstLine="640" w:firstLineChars="200"/>
        <w:rPr>
          <w:rFonts w:ascii="仿宋_GB2312" w:hAnsi="仿宋" w:eastAsia="仿宋_GB2312"/>
          <w:sz w:val="32"/>
          <w:szCs w:val="32"/>
        </w:rPr>
      </w:pPr>
      <w:r>
        <w:rPr>
          <w:rFonts w:hint="eastAsia" w:ascii="仿宋_GB2312" w:hAnsi="仿宋" w:eastAsia="仿宋_GB2312"/>
          <w:sz w:val="32"/>
          <w:szCs w:val="32"/>
        </w:rPr>
        <w:t>主要职责</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1、宣传和执行党的路线、方针、政策、宣传和执行党中央、上级组织和本级组织的决议,充分发挥党员的先锋模范作用。</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2、在本乡(镇)内,保证宪法、法律、行政法规和上级人民代表及其常务委员会决议的遵守和执行。</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3、执行本级人民代表大会的决议和上级国家行政机关的决定和命令;执行本乡(镇)内经济和社会发展计划、预算,管理本乡(镇)内的经济、教育、科学、文化、卫生、体育事业和财政、民政、公安、司法行政、计划生育等行政工作。</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4、对党员进行教育、管理和监督,提高党员素质,增强党性,严格党的组织生活,维护和执行党的纪律,监督党员切实履行义务,保障党员的权利不受侵犯。</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5、密切联系群众,经常了解群众对党员、党的工作的批评和意见,维护群众的正当权利和利益做好群众的思想政治工作。</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6、监督党员干部和其他国家工作人员严格遵守国家的财政经济法规和人事制度。</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7、根据国家计划,制订本乡(镇)内的经济、文化事业和公共事业的建设计划并组织实施。</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8、承办县委、县人大、县政府、县政协交办的其他事项。</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二、机构设置</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(1)内设机构</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根据上述职责,西藏</w:t>
      </w:r>
      <w:r>
        <w:rPr>
          <w:rFonts w:hint="eastAsia" w:ascii="仿宋_GB2312" w:eastAsia="仿宋_GB2312"/>
          <w:sz w:val="32"/>
          <w:szCs w:val="32"/>
          <w:lang w:eastAsia="zh-CN"/>
        </w:rPr>
        <w:t>山南市乃东区</w:t>
      </w:r>
      <w:r>
        <w:rPr>
          <w:rFonts w:hint="eastAsia" w:ascii="仿宋_GB2312" w:eastAsia="仿宋_GB2312"/>
          <w:sz w:val="32"/>
          <w:szCs w:val="32"/>
        </w:rPr>
        <w:t xml:space="preserve">索珠乡设5个内设机构(不定级别)：                    </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1、党群综合办公室</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党委、人大、政府和群团组织的各项日常工作和党的基层组织建设、经济社会事业发展规划制定,纪检监察、组织人事、宣传、统一战线、精神文明建设、工青妇及党内统计等工作。协调社会管理综合治理相关工作和与经济社会发展相关工作,负责政务信息、经济社会发展相关统计、政务监督等工作。内部可设置人大、纪检、组织、政务信息、政务监督、政务统计、文秘等岗位。按照有关规定配备团委书记和妇联主任。</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2、经济发展办公室</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主要职责:主要承担经济结构调整、基础设施建设、财经、扶贫开发、防汛抗旱救灾、动植物防疫、安全生产等工作。内部可设置经济产业发展、资源管理等岗位。</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3、社会事务办公室</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主要职责:主要承担文化卫生、教育体育、科学技术、优生优育、村镇规划建设、民政事务、残疾人保障、劳动就业和社会保障、环境屎护等工作。内部可设置科教文卫、民政、社保服务等岗位。</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4、维护稳定和社会综合治理办公室</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人民武装、社会管理综合治理、信访、矛盾纠纷排查调处、民族宗教、寺庙管理、安置帮教、群防群治组织建设等工作。协调与维护稳定相关工作。内部可设置人民武装、综拿治理、民族宗教、信访调解员等岗位。</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5、财政所</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主要职责:主要承担乡镇财政预算的制定和财务日常管理工作,监督管理村居委会财务收支和村财公开事宜。</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预决算、社保、农业、会计、出纳等岗位。</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(2)事业机构</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西藏</w:t>
      </w:r>
      <w:r>
        <w:rPr>
          <w:rFonts w:hint="eastAsia" w:ascii="仿宋_GB2312" w:eastAsia="仿宋_GB2312"/>
          <w:sz w:val="32"/>
          <w:szCs w:val="32"/>
          <w:lang w:eastAsia="zh-CN"/>
        </w:rPr>
        <w:t>山南市乃东区</w:t>
      </w:r>
      <w:r>
        <w:rPr>
          <w:rFonts w:hint="eastAsia" w:ascii="仿宋_GB2312" w:eastAsia="仿宋_GB2312"/>
          <w:sz w:val="32"/>
          <w:szCs w:val="32"/>
        </w:rPr>
        <w:t>索珠乡设4个事业机构(副科级);</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1、卫生院(优生优育服务站)</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主要职责:主要承担乡镇医疗、保健、疾病预防和优生优育技术服务等工作。</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2、农牧服务中心(畜牧兽医服务中心)</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主要职责:主要承担乡镇农牧技术推广、农机、种子推广、科技培训、蔬菜种植、草原管理、畜牧兽医、兽防、野生动物保护、渔业、林业和水利等工作。</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3、文化服务中心</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主要职责:主要承担远程教育站点的维护使用和乡镇文化、广播、电影、电视、图书、群众体育等工作。</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4、机关后勤服务中心</w:t>
      </w:r>
    </w:p>
    <w:p>
      <w:pPr>
        <w:ind w:left="0" w:leftChars="0" w:firstLine="640" w:firstLineChars="200"/>
        <w:rPr>
          <w:rFonts w:hint="eastAsia" w:ascii="仿宋_GB2312" w:eastAsia="仿宋_GB2312"/>
          <w:sz w:val="32"/>
          <w:szCs w:val="32"/>
        </w:rPr>
      </w:pPr>
      <w:r>
        <w:rPr>
          <w:rFonts w:hint="eastAsia" w:ascii="仿宋_GB2312" w:eastAsia="仿宋_GB2312"/>
          <w:sz w:val="32"/>
          <w:szCs w:val="32"/>
        </w:rPr>
        <w:t>主要职责:负责乡镇机关后勤保障工作。</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61"/>
        <w:gridCol w:w="1563"/>
        <w:gridCol w:w="1431"/>
        <w:gridCol w:w="1152"/>
        <w:gridCol w:w="1224"/>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2017年乃东区亚堆乡财政拨款收支总表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124"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31"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1152"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629"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3124"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12"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10"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661.98</w:t>
            </w: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661.98</w:t>
            </w: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661.98</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661.98</w:t>
            </w:r>
          </w:p>
        </w:tc>
        <w:tc>
          <w:tcPr>
            <w:tcW w:w="14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661.98</w:t>
            </w:r>
          </w:p>
        </w:tc>
        <w:tc>
          <w:tcPr>
            <w:tcW w:w="12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661.98</w:t>
            </w:r>
          </w:p>
        </w:tc>
        <w:tc>
          <w:tcPr>
            <w:tcW w:w="14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40"/>
        <w:gridCol w:w="2020"/>
        <w:gridCol w:w="1379"/>
        <w:gridCol w:w="1378"/>
        <w:gridCol w:w="1374"/>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2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2017年乃东区亚堆乡一般公共预算支出表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30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131"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Fonts w:hint="eastAsia" w:ascii="宋体" w:hAnsi="宋体" w:eastAsia="宋体" w:cs="宋体"/>
                <w:i w:val="0"/>
                <w:color w:val="000000"/>
                <w:kern w:val="0"/>
                <w:sz w:val="21"/>
                <w:szCs w:val="21"/>
                <w:u w:val="none"/>
                <w:lang w:val="en-US" w:eastAsia="zh-CN" w:bidi="ar"/>
              </w:rPr>
              <w:t>7年预算数</w:t>
            </w:r>
          </w:p>
        </w:tc>
        <w:tc>
          <w:tcPr>
            <w:tcW w:w="11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40"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1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0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02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661.98</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660.78</w:t>
            </w:r>
          </w:p>
        </w:tc>
        <w:tc>
          <w:tcPr>
            <w:tcW w:w="13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202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655.18</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653.98</w:t>
            </w:r>
          </w:p>
        </w:tc>
        <w:tc>
          <w:tcPr>
            <w:tcW w:w="13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02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3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1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040" w:type="dxa"/>
            <w:tcBorders>
              <w:top w:val="single" w:color="auto"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7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661.98</w:t>
            </w:r>
          </w:p>
        </w:tc>
        <w:tc>
          <w:tcPr>
            <w:tcW w:w="13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660.78</w:t>
            </w:r>
          </w:p>
        </w:tc>
        <w:tc>
          <w:tcPr>
            <w:tcW w:w="13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w:t>
            </w:r>
          </w:p>
        </w:tc>
        <w:tc>
          <w:tcPr>
            <w:tcW w:w="11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5"/>
                <w:lang w:val="en-US" w:eastAsia="zh-CN" w:bidi="ar"/>
              </w:rPr>
              <w:t>项级</w:t>
            </w:r>
            <w:r>
              <w:rPr>
                <w:rStyle w:val="16"/>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83"/>
        <w:gridCol w:w="1593"/>
        <w:gridCol w:w="1560"/>
        <w:gridCol w:w="1134"/>
        <w:gridCol w:w="1530"/>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336" w:type="dxa"/>
            <w:gridSpan w:val="6"/>
            <w:shd w:val="cle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2017年乃东区亚堆乡一般公共预算基本支出表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tcBorders>
              <w:bottom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2876"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w:t>
            </w:r>
          </w:p>
        </w:tc>
        <w:tc>
          <w:tcPr>
            <w:tcW w:w="4224" w:type="dxa"/>
            <w:gridSpan w:val="3"/>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2017年基本支出</w:t>
            </w:r>
          </w:p>
        </w:tc>
        <w:tc>
          <w:tcPr>
            <w:tcW w:w="1236"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593"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56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34"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153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c>
          <w:tcPr>
            <w:tcW w:w="1236"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301</w:t>
            </w:r>
          </w:p>
        </w:tc>
        <w:tc>
          <w:tcPr>
            <w:tcW w:w="1593"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工资福利支出</w:t>
            </w:r>
          </w:p>
        </w:tc>
        <w:tc>
          <w:tcPr>
            <w:tcW w:w="1560"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610.32</w:t>
            </w:r>
          </w:p>
        </w:tc>
        <w:tc>
          <w:tcPr>
            <w:tcW w:w="1134"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685.81</w:t>
            </w:r>
          </w:p>
        </w:tc>
        <w:tc>
          <w:tcPr>
            <w:tcW w:w="1530"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0"/>
                <w:szCs w:val="20"/>
                <w:u w:val="none"/>
              </w:rPr>
            </w:pPr>
          </w:p>
        </w:tc>
        <w:tc>
          <w:tcPr>
            <w:tcW w:w="1236"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593"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1560"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141.78</w:t>
            </w:r>
          </w:p>
        </w:tc>
        <w:tc>
          <w:tcPr>
            <w:tcW w:w="1134"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141.78</w:t>
            </w:r>
          </w:p>
        </w:tc>
        <w:tc>
          <w:tcPr>
            <w:tcW w:w="1530"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236"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593"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560"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386.84</w:t>
            </w:r>
          </w:p>
        </w:tc>
        <w:tc>
          <w:tcPr>
            <w:tcW w:w="1134"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386.84</w:t>
            </w:r>
          </w:p>
        </w:tc>
        <w:tc>
          <w:tcPr>
            <w:tcW w:w="1530"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236"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593"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1560"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w:t>
            </w:r>
          </w:p>
        </w:tc>
        <w:tc>
          <w:tcPr>
            <w:tcW w:w="1134"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w:t>
            </w:r>
          </w:p>
        </w:tc>
        <w:tc>
          <w:tcPr>
            <w:tcW w:w="1530"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236"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593"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1560"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1134" w:type="dxa"/>
            <w:tcBorders>
              <w:bottom w:val="single" w:color="000000" w:sz="12" w:space="0"/>
              <w:right w:val="single" w:color="000000" w:sz="12"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1530"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236"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w:t>
            </w:r>
          </w:p>
        </w:tc>
        <w:tc>
          <w:tcPr>
            <w:tcW w:w="159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商品和服务支出</w:t>
            </w:r>
          </w:p>
        </w:tc>
        <w:tc>
          <w:tcPr>
            <w:tcW w:w="156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50.46</w:t>
            </w:r>
          </w:p>
        </w:tc>
        <w:tc>
          <w:tcPr>
            <w:tcW w:w="1134"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0"/>
                <w:szCs w:val="20"/>
                <w:u w:val="none"/>
              </w:rPr>
            </w:pPr>
          </w:p>
        </w:tc>
        <w:tc>
          <w:tcPr>
            <w:tcW w:w="153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59.4</w:t>
            </w:r>
          </w:p>
        </w:tc>
        <w:tc>
          <w:tcPr>
            <w:tcW w:w="1236" w:type="dxa"/>
            <w:tcBorders>
              <w:bottom w:val="single" w:color="000000" w:sz="12" w:space="0"/>
              <w:right w:val="single" w:color="000000" w:sz="12" w:space="0"/>
            </w:tcBorders>
            <w:shd w:val="clear"/>
            <w:vAlign w:val="bottom"/>
          </w:tcPr>
          <w:p>
            <w:pP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9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156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53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36" w:type="dxa"/>
            <w:tcBorders>
              <w:bottom w:val="single" w:color="000000" w:sz="12" w:space="0"/>
              <w:right w:val="single" w:color="000000" w:sz="12" w:space="0"/>
            </w:tcBorders>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9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156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53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36" w:type="dxa"/>
            <w:tcBorders>
              <w:bottom w:val="single" w:color="000000" w:sz="12" w:space="0"/>
              <w:right w:val="single" w:color="000000" w:sz="12" w:space="0"/>
            </w:tcBorders>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9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156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53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36"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9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156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53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36"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9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156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3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53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36" w:type="dxa"/>
            <w:tcBorders>
              <w:bottom w:val="single" w:color="000000" w:sz="12" w:space="0"/>
              <w:right w:val="single" w:color="000000" w:sz="12" w:space="0"/>
            </w:tcBorders>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9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156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53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36" w:type="dxa"/>
            <w:tcBorders>
              <w:bottom w:val="single" w:color="000000" w:sz="12" w:space="0"/>
              <w:right w:val="single" w:color="000000" w:sz="12" w:space="0"/>
            </w:tcBorders>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9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156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53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36"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59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56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13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53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236" w:type="dxa"/>
            <w:tcBorders>
              <w:bottom w:val="single" w:color="000000" w:sz="12" w:space="0"/>
              <w:right w:val="single" w:color="000000" w:sz="12" w:space="0"/>
            </w:tcBorders>
            <w:shd w:val="clear"/>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9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156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13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53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236"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283" w:type="dxa"/>
            <w:tcBorders>
              <w:left w:val="single" w:color="000000" w:sz="12" w:space="0"/>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93"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156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c>
          <w:tcPr>
            <w:tcW w:w="1530" w:type="dxa"/>
            <w:tcBorders>
              <w:bottom w:val="single" w:color="000000" w:sz="12" w:space="0"/>
              <w:right w:val="single" w:color="000000" w:sz="12"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36"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2876"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6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660.78</w:t>
            </w:r>
          </w:p>
        </w:tc>
        <w:tc>
          <w:tcPr>
            <w:tcW w:w="1134"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685.81</w:t>
            </w:r>
          </w:p>
        </w:tc>
        <w:tc>
          <w:tcPr>
            <w:tcW w:w="1530"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w:t>
            </w:r>
          </w:p>
        </w:tc>
        <w:tc>
          <w:tcPr>
            <w:tcW w:w="1236"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0"/>
                <w:szCs w:val="20"/>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8"/>
        <w:gridCol w:w="1390"/>
        <w:gridCol w:w="1389"/>
        <w:gridCol w:w="1390"/>
        <w:gridCol w:w="139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36" w:type="dxa"/>
            <w:gridSpan w:val="6"/>
            <w:shd w:val="cle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2017年乃东区亚堆乡一般公共预算</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1388"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3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11.46</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79"/>
        <w:gridCol w:w="1458"/>
        <w:gridCol w:w="870"/>
        <w:gridCol w:w="870"/>
        <w:gridCol w:w="870"/>
        <w:gridCol w:w="2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2017年乃东区亚堆乡政府性基金预算支出表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479"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458" w:type="dxa"/>
            <w:shd w:val="clear"/>
            <w:vAlign w:val="center"/>
          </w:tcPr>
          <w:p>
            <w:pPr>
              <w:rPr>
                <w:rFonts w:hint="eastAsia" w:ascii="宋体" w:hAnsi="宋体" w:eastAsia="宋体" w:cs="宋体"/>
                <w:i w:val="0"/>
                <w:color w:val="000000"/>
                <w:sz w:val="18"/>
                <w:szCs w:val="18"/>
                <w:u w:val="none"/>
              </w:rPr>
            </w:pPr>
          </w:p>
        </w:tc>
        <w:tc>
          <w:tcPr>
            <w:tcW w:w="870" w:type="dxa"/>
            <w:shd w:val="clear"/>
            <w:vAlign w:val="center"/>
          </w:tcPr>
          <w:p>
            <w:pPr>
              <w:rPr>
                <w:rFonts w:hint="eastAsia" w:ascii="宋体" w:hAnsi="宋体" w:eastAsia="宋体" w:cs="宋体"/>
                <w:i w:val="0"/>
                <w:color w:val="000000"/>
                <w:sz w:val="18"/>
                <w:szCs w:val="18"/>
                <w:u w:val="none"/>
              </w:rPr>
            </w:pPr>
          </w:p>
        </w:tc>
        <w:tc>
          <w:tcPr>
            <w:tcW w:w="870" w:type="dxa"/>
            <w:shd w:val="clear"/>
            <w:vAlign w:val="center"/>
          </w:tcPr>
          <w:p>
            <w:pPr>
              <w:rPr>
                <w:rFonts w:hint="eastAsia" w:ascii="宋体" w:hAnsi="宋体" w:eastAsia="宋体" w:cs="宋体"/>
                <w:i w:val="0"/>
                <w:color w:val="000000"/>
                <w:sz w:val="18"/>
                <w:szCs w:val="18"/>
                <w:u w:val="none"/>
              </w:rPr>
            </w:pPr>
          </w:p>
        </w:tc>
        <w:tc>
          <w:tcPr>
            <w:tcW w:w="3659"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4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45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452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2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2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4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5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93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27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8336" w:type="dxa"/>
            <w:gridSpan w:val="6"/>
            <w:tcBorders>
              <w:top w:val="single" w:color="000000" w:sz="4" w:space="0"/>
            </w:tcBorders>
            <w:shd w:val="clear"/>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i w:val="0"/>
                <w:color w:val="000000"/>
                <w:kern w:val="0"/>
                <w:sz w:val="21"/>
                <w:szCs w:val="21"/>
                <w:u w:val="none"/>
                <w:lang w:val="en-US" w:eastAsia="zh-CN" w:bidi="ar"/>
              </w:rPr>
              <w:t>注：乃东区亚堆乡2017年没有使用政府性基金安排的支出，故本表无数据。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96"/>
        <w:gridCol w:w="2377"/>
        <w:gridCol w:w="1824"/>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336" w:type="dxa"/>
            <w:gridSpan w:val="4"/>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2017年乃东区亚堆乡部门收支总表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2296" w:type="dxa"/>
            <w:shd w:val="clear"/>
            <w:vAlign w:val="center"/>
          </w:tcPr>
          <w:p>
            <w:pPr>
              <w:jc w:val="left"/>
              <w:rPr>
                <w:rFonts w:hint="eastAsia" w:ascii="宋体" w:hAnsi="宋体" w:eastAsia="宋体" w:cs="宋体"/>
                <w:i w:val="0"/>
                <w:color w:val="000000"/>
                <w:sz w:val="21"/>
                <w:szCs w:val="21"/>
                <w:u w:val="none"/>
              </w:rPr>
            </w:pPr>
          </w:p>
        </w:tc>
        <w:tc>
          <w:tcPr>
            <w:tcW w:w="2377" w:type="dxa"/>
            <w:shd w:val="clear"/>
            <w:vAlign w:val="bottom"/>
          </w:tcPr>
          <w:p>
            <w:pPr>
              <w:rPr>
                <w:rFonts w:hint="eastAsia" w:ascii="宋体" w:hAnsi="宋体" w:eastAsia="宋体" w:cs="宋体"/>
                <w:i w:val="0"/>
                <w:color w:val="000000"/>
                <w:sz w:val="18"/>
                <w:szCs w:val="18"/>
                <w:u w:val="none"/>
              </w:rPr>
            </w:pPr>
          </w:p>
        </w:tc>
        <w:tc>
          <w:tcPr>
            <w:tcW w:w="1824" w:type="dxa"/>
            <w:shd w:val="clear"/>
            <w:vAlign w:val="bottom"/>
          </w:tcPr>
          <w:p>
            <w:pPr>
              <w:rPr>
                <w:rFonts w:hint="eastAsia" w:ascii="宋体" w:hAnsi="宋体" w:eastAsia="宋体" w:cs="宋体"/>
                <w:i w:val="0"/>
                <w:color w:val="000000"/>
                <w:sz w:val="18"/>
                <w:szCs w:val="18"/>
                <w:u w:val="none"/>
              </w:rPr>
            </w:pPr>
          </w:p>
        </w:tc>
        <w:tc>
          <w:tcPr>
            <w:tcW w:w="1839"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46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66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661.98</w:t>
            </w: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661.98</w:t>
            </w: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2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661.98</w:t>
            </w:r>
          </w:p>
        </w:tc>
        <w:tc>
          <w:tcPr>
            <w:tcW w:w="18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661.98</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1960"/>
        <w:gridCol w:w="879"/>
        <w:gridCol w:w="460"/>
        <w:gridCol w:w="1092"/>
        <w:gridCol w:w="617"/>
        <w:gridCol w:w="453"/>
        <w:gridCol w:w="459"/>
        <w:gridCol w:w="413"/>
        <w:gridCol w:w="397"/>
        <w:gridCol w:w="366"/>
        <w:gridCol w:w="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1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2017年乃东区亚堆乡部门收入总表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960" w:type="dxa"/>
            <w:shd w:val="clear"/>
            <w:vAlign w:val="bottom"/>
          </w:tcPr>
          <w:p>
            <w:pPr>
              <w:rPr>
                <w:rFonts w:hint="eastAsia" w:ascii="宋体" w:hAnsi="宋体" w:eastAsia="宋体" w:cs="宋体"/>
                <w:i w:val="0"/>
                <w:color w:val="000000"/>
                <w:sz w:val="18"/>
                <w:szCs w:val="18"/>
                <w:u w:val="none"/>
              </w:rPr>
            </w:pPr>
          </w:p>
        </w:tc>
        <w:tc>
          <w:tcPr>
            <w:tcW w:w="879" w:type="dxa"/>
            <w:shd w:val="clear"/>
            <w:vAlign w:val="bottom"/>
          </w:tcPr>
          <w:p>
            <w:pPr>
              <w:rPr>
                <w:rFonts w:hint="eastAsia" w:ascii="宋体" w:hAnsi="宋体" w:eastAsia="宋体" w:cs="宋体"/>
                <w:i w:val="0"/>
                <w:color w:val="000000"/>
                <w:sz w:val="18"/>
                <w:szCs w:val="18"/>
                <w:u w:val="none"/>
              </w:rPr>
            </w:pPr>
          </w:p>
        </w:tc>
        <w:tc>
          <w:tcPr>
            <w:tcW w:w="460" w:type="dxa"/>
            <w:shd w:val="clear"/>
            <w:vAlign w:val="bottom"/>
          </w:tcPr>
          <w:p>
            <w:pPr>
              <w:rPr>
                <w:rFonts w:hint="eastAsia" w:ascii="宋体" w:hAnsi="宋体" w:eastAsia="宋体" w:cs="宋体"/>
                <w:i w:val="0"/>
                <w:color w:val="000000"/>
                <w:sz w:val="18"/>
                <w:szCs w:val="18"/>
                <w:u w:val="none"/>
              </w:rPr>
            </w:pPr>
          </w:p>
        </w:tc>
        <w:tc>
          <w:tcPr>
            <w:tcW w:w="1092" w:type="dxa"/>
            <w:shd w:val="clear"/>
            <w:vAlign w:val="bottom"/>
          </w:tcPr>
          <w:p>
            <w:pPr>
              <w:rPr>
                <w:rFonts w:hint="eastAsia" w:ascii="宋体" w:hAnsi="宋体" w:eastAsia="宋体" w:cs="宋体"/>
                <w:i w:val="0"/>
                <w:color w:val="000000"/>
                <w:sz w:val="18"/>
                <w:szCs w:val="18"/>
                <w:u w:val="none"/>
              </w:rPr>
            </w:pPr>
          </w:p>
        </w:tc>
        <w:tc>
          <w:tcPr>
            <w:tcW w:w="617" w:type="dxa"/>
            <w:shd w:val="clear"/>
            <w:vAlign w:val="bottom"/>
          </w:tcPr>
          <w:p>
            <w:pPr>
              <w:rPr>
                <w:rFonts w:hint="eastAsia" w:ascii="宋体" w:hAnsi="宋体" w:eastAsia="宋体" w:cs="宋体"/>
                <w:i w:val="0"/>
                <w:color w:val="000000"/>
                <w:sz w:val="18"/>
                <w:szCs w:val="18"/>
                <w:u w:val="none"/>
              </w:rPr>
            </w:pPr>
          </w:p>
        </w:tc>
        <w:tc>
          <w:tcPr>
            <w:tcW w:w="453" w:type="dxa"/>
            <w:shd w:val="clear"/>
            <w:vAlign w:val="bottom"/>
          </w:tcPr>
          <w:p>
            <w:pPr>
              <w:rPr>
                <w:rFonts w:hint="eastAsia" w:ascii="宋体" w:hAnsi="宋体" w:eastAsia="宋体" w:cs="宋体"/>
                <w:i w:val="0"/>
                <w:color w:val="000000"/>
                <w:sz w:val="18"/>
                <w:szCs w:val="18"/>
                <w:u w:val="none"/>
              </w:rPr>
            </w:pPr>
          </w:p>
        </w:tc>
        <w:tc>
          <w:tcPr>
            <w:tcW w:w="459" w:type="dxa"/>
            <w:shd w:val="clear"/>
            <w:vAlign w:val="bottom"/>
          </w:tcPr>
          <w:p>
            <w:pPr>
              <w:rPr>
                <w:rFonts w:hint="eastAsia" w:ascii="宋体" w:hAnsi="宋体" w:eastAsia="宋体" w:cs="宋体"/>
                <w:i w:val="0"/>
                <w:color w:val="000000"/>
                <w:sz w:val="18"/>
                <w:szCs w:val="18"/>
                <w:u w:val="none"/>
              </w:rPr>
            </w:pPr>
          </w:p>
        </w:tc>
        <w:tc>
          <w:tcPr>
            <w:tcW w:w="413" w:type="dxa"/>
            <w:shd w:val="clear"/>
            <w:vAlign w:val="bottom"/>
          </w:tcPr>
          <w:p>
            <w:pPr>
              <w:rPr>
                <w:rFonts w:hint="eastAsia" w:ascii="宋体" w:hAnsi="宋体" w:eastAsia="宋体" w:cs="宋体"/>
                <w:i w:val="0"/>
                <w:color w:val="000000"/>
                <w:sz w:val="18"/>
                <w:szCs w:val="18"/>
                <w:u w:val="none"/>
              </w:rPr>
            </w:pPr>
          </w:p>
        </w:tc>
        <w:tc>
          <w:tcPr>
            <w:tcW w:w="397" w:type="dxa"/>
            <w:shd w:val="clear"/>
            <w:vAlign w:val="bottom"/>
          </w:tcPr>
          <w:p>
            <w:pPr>
              <w:rPr>
                <w:rFonts w:hint="eastAsia" w:ascii="宋体" w:hAnsi="宋体" w:eastAsia="宋体" w:cs="宋体"/>
                <w:i w:val="0"/>
                <w:color w:val="000000"/>
                <w:sz w:val="18"/>
                <w:szCs w:val="18"/>
                <w:u w:val="none"/>
              </w:rPr>
            </w:pPr>
          </w:p>
        </w:tc>
        <w:tc>
          <w:tcPr>
            <w:tcW w:w="841"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20" w:hRule="atLeast"/>
        </w:trPr>
        <w:tc>
          <w:tcPr>
            <w:tcW w:w="27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6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96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661.98</w:t>
            </w: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661.98</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196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655.18</w:t>
            </w: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655.18</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1960"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auto"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9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9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72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661.98</w:t>
            </w:r>
          </w:p>
        </w:tc>
        <w:tc>
          <w:tcPr>
            <w:tcW w:w="4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661.98</w:t>
            </w:r>
          </w:p>
        </w:tc>
        <w:tc>
          <w:tcPr>
            <w:tcW w:w="61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2"/>
        <w:gridCol w:w="2444"/>
        <w:gridCol w:w="1033"/>
        <w:gridCol w:w="961"/>
        <w:gridCol w:w="581"/>
        <w:gridCol w:w="863"/>
        <w:gridCol w:w="759"/>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8336" w:type="dxa"/>
            <w:gridSpan w:val="8"/>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2017年乃东区亚堆乡部门支出总表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832" w:type="dxa"/>
            <w:shd w:val="clear"/>
            <w:vAlign w:val="center"/>
          </w:tcPr>
          <w:p>
            <w:pPr>
              <w:jc w:val="left"/>
              <w:rPr>
                <w:rFonts w:hint="eastAsia" w:ascii="宋体" w:hAnsi="宋体" w:eastAsia="宋体" w:cs="宋体"/>
                <w:i w:val="0"/>
                <w:color w:val="000000"/>
                <w:sz w:val="21"/>
                <w:szCs w:val="21"/>
                <w:u w:val="none"/>
              </w:rPr>
            </w:pPr>
          </w:p>
        </w:tc>
        <w:tc>
          <w:tcPr>
            <w:tcW w:w="2444" w:type="dxa"/>
            <w:shd w:val="clear"/>
            <w:vAlign w:val="center"/>
          </w:tcPr>
          <w:p>
            <w:pPr>
              <w:rPr>
                <w:rFonts w:hint="eastAsia" w:ascii="宋体" w:hAnsi="宋体" w:eastAsia="宋体" w:cs="宋体"/>
                <w:i w:val="0"/>
                <w:color w:val="000000"/>
                <w:sz w:val="22"/>
                <w:szCs w:val="22"/>
                <w:u w:val="none"/>
              </w:rPr>
            </w:pPr>
          </w:p>
        </w:tc>
        <w:tc>
          <w:tcPr>
            <w:tcW w:w="1033" w:type="dxa"/>
            <w:shd w:val="clear"/>
            <w:vAlign w:val="center"/>
          </w:tcPr>
          <w:p>
            <w:pPr>
              <w:rPr>
                <w:rFonts w:hint="eastAsia" w:ascii="宋体" w:hAnsi="宋体" w:eastAsia="宋体" w:cs="宋体"/>
                <w:i w:val="0"/>
                <w:color w:val="000000"/>
                <w:sz w:val="22"/>
                <w:szCs w:val="22"/>
                <w:u w:val="none"/>
              </w:rPr>
            </w:pPr>
          </w:p>
        </w:tc>
        <w:tc>
          <w:tcPr>
            <w:tcW w:w="961" w:type="dxa"/>
            <w:shd w:val="clear"/>
            <w:vAlign w:val="center"/>
          </w:tcPr>
          <w:p>
            <w:pPr>
              <w:rPr>
                <w:rFonts w:hint="eastAsia" w:ascii="宋体" w:hAnsi="宋体" w:eastAsia="宋体" w:cs="宋体"/>
                <w:i w:val="0"/>
                <w:color w:val="000000"/>
                <w:sz w:val="22"/>
                <w:szCs w:val="22"/>
                <w:u w:val="none"/>
              </w:rPr>
            </w:pPr>
          </w:p>
        </w:tc>
        <w:tc>
          <w:tcPr>
            <w:tcW w:w="581" w:type="dxa"/>
            <w:shd w:val="clear"/>
            <w:vAlign w:val="center"/>
          </w:tcPr>
          <w:p>
            <w:pPr>
              <w:rPr>
                <w:rFonts w:hint="eastAsia" w:ascii="宋体" w:hAnsi="宋体" w:eastAsia="宋体" w:cs="宋体"/>
                <w:i w:val="0"/>
                <w:color w:val="000000"/>
                <w:sz w:val="22"/>
                <w:szCs w:val="22"/>
                <w:u w:val="none"/>
              </w:rPr>
            </w:pPr>
          </w:p>
        </w:tc>
        <w:tc>
          <w:tcPr>
            <w:tcW w:w="863" w:type="dxa"/>
            <w:shd w:val="clear"/>
            <w:vAlign w:val="center"/>
          </w:tcPr>
          <w:p>
            <w:pPr>
              <w:rPr>
                <w:rFonts w:hint="eastAsia" w:ascii="宋体" w:hAnsi="宋体" w:eastAsia="宋体" w:cs="宋体"/>
                <w:i w:val="0"/>
                <w:color w:val="000000"/>
                <w:sz w:val="22"/>
                <w:szCs w:val="22"/>
                <w:u w:val="none"/>
              </w:rPr>
            </w:pPr>
          </w:p>
        </w:tc>
        <w:tc>
          <w:tcPr>
            <w:tcW w:w="1622"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5" w:hRule="atLeast"/>
        </w:trPr>
        <w:tc>
          <w:tcPr>
            <w:tcW w:w="832"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4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661.98</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660.78</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2444"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655.18</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653.98</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其他政府办公厅（室）及相关机构事务支出</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661.98 </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660.78 </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1.20 </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西藏山南市乃东区索珠乡2017年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西藏山南市乃东区索珠乡2017年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661.98</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661.98</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一般公共服务支出661.98万元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2"/>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661.98</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610.32</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50.46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项目支出1.2万元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661.98</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一般公共服务支出661.98</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201一般公共服务支出661.98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2010301行政运行</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655.18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2010399其他政府办公厅（室）及相关机构事务支出6.8万元。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660.78</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610.32</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141.78</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386.84</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50.6</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31.1</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50.46</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万元，水费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电费5万元，邮电费7万元，差旅费2万元，维修（护）费1万元，</w:t>
      </w:r>
      <w:r>
        <w:rPr>
          <w:rFonts w:hint="eastAsia" w:ascii="仿宋_GB2312" w:hAnsi="仿宋_GB2312" w:eastAsia="仿宋_GB2312" w:cs="仿宋_GB2312"/>
          <w:color w:val="000000" w:themeColor="text1"/>
          <w:sz w:val="32"/>
          <w:szCs w:val="32"/>
          <w14:textFill>
            <w14:solidFill>
              <w14:schemeClr w14:val="tx1"/>
            </w14:solidFill>
          </w14:textFill>
        </w:rPr>
        <w:t>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1.86</w:t>
      </w:r>
      <w:r>
        <w:rPr>
          <w:rFonts w:hint="eastAsia" w:ascii="仿宋_GB2312" w:hAnsi="仿宋_GB2312" w:eastAsia="仿宋_GB2312" w:cs="仿宋_GB2312"/>
          <w:color w:val="000000" w:themeColor="text1"/>
          <w:sz w:val="32"/>
          <w:szCs w:val="32"/>
          <w14:textFill>
            <w14:solidFill>
              <w14:schemeClr w14:val="tx1"/>
            </w14:solidFill>
          </w14:textFill>
        </w:rPr>
        <w:t>万元，公务用车运行维护费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其他商品和服务支出10万元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2017年三公经费预算合计11.46万元，同比增加3.46万元，上升43.25%。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增加的原因主要一是车辆老化严重，致使车辆的修理费、燃油费增加。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二是需要执行的相关工作增加，下乡次数增多，致使油料费增加。 </w:t>
      </w: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西藏山南市乃东区索珠乡2017年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661.98</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661.98</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661.98</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660.78</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661.98</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660.78</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661.98</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一般公共服务支出661.98万元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2017年亚堆乡机关运行经费预算为37.2万元，与2016年74万元相比减少36.8万元，减少49.73%。</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abstractNum w:abstractNumId="1">
    <w:nsid w:val="6BB379D1"/>
    <w:multiLevelType w:val="multilevel"/>
    <w:tmpl w:val="6BB379D1"/>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E8E3BE4"/>
    <w:rsid w:val="1F0D5063"/>
    <w:rsid w:val="23672AA3"/>
    <w:rsid w:val="25371F1B"/>
    <w:rsid w:val="2F942079"/>
    <w:rsid w:val="43E10E38"/>
    <w:rsid w:val="55671262"/>
    <w:rsid w:val="5FC30FB5"/>
    <w:rsid w:val="6262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paragraph" w:styleId="14">
    <w:name w:val="List Paragraph"/>
    <w:basedOn w:val="1"/>
    <w:qFormat/>
    <w:uiPriority w:val="34"/>
    <w:pPr>
      <w:ind w:firstLine="420" w:firstLineChars="200"/>
    </w:pPr>
  </w:style>
  <w:style w:type="character" w:customStyle="1" w:styleId="15">
    <w:name w:val="font71"/>
    <w:basedOn w:val="5"/>
    <w:uiPriority w:val="0"/>
    <w:rPr>
      <w:rFonts w:hint="eastAsia" w:ascii="宋体" w:hAnsi="宋体" w:eastAsia="宋体" w:cs="宋体"/>
      <w:b/>
      <w:color w:val="000000"/>
      <w:sz w:val="24"/>
      <w:szCs w:val="24"/>
      <w:u w:val="none"/>
    </w:rPr>
  </w:style>
  <w:style w:type="character" w:customStyle="1" w:styleId="16">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0</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2018-12-20T06:12:05Z</cp:lastPrinted>
  <dcterms:modified xsi:type="dcterms:W3CDTF">2018-12-20T06:28:41Z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