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 根据山南地区机构编制委员会《关于印发乃东县县直机构和乡镇机关“三定”方案的通知》山机编发〔2002〕17号文件精神，人大常委会办公室是县人大常委会的综合办事机构，正科级建制。主要职责是：</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承担县人大常委会会议、人民代表大会会议、主任会议和人大党组会议的筹备和会务工作；负责人大代表视察和人大各工作委员会执法检查的有关工作；负责人大常委会的文电、档案。信息、保密、文印等工作。</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2.受主任会议委托，拟定议案草案。</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3.负责本级人民代表大会代表的选举的协调工作；承担人大常委会同本县基层人大代表的联系的有关工作，并指导乡镇基层人大的换届选举和自治区人大代表的选举工作。</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4.负责上级人大代表视察、考察的接待；负责联系在本县的全国、自治区人大代表，向他们通报有关情况，为代表依法履职提供服务；协助、组织在本县的全国、自治区人大代表的视察活动；负责本县的全国、自治区人大会议服务、联络工作。</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5.办理群众来信，接待群众来访，督促有关部门认真办理群众的建议、批评意见和申诉、控告、检举；并向县委和县人大常委会决策及行使职权提供参考。</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6.开展有关工作调研，了解情况，提出建议，为人大常委会决策及行使职权提供参考。</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7.负责组织对常委会有关会议及民主法治建设、人大制度、人大工作的宣传报道。</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8.负责组织对常委会工作报告、有关文件和领导讲话及向县委、自治区人大常委会有关重要情况报告的起草工作。</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9.负责与县政府及两院的联系具体事宜；承办执法检查、工作评议、述职评议的相关事宜，并拟定相关报告。</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10.负责办理全国、自治区人大代表的来信，接待他们的来访；办理督促县政府及其工作部门、两院认真办理人大常委会转交的全国、自治区人大代表提出的建议、批评、意见和申诉、控告、检举的具体事宜。</w:t>
      </w:r>
    </w:p>
    <w:p>
      <w:pPr>
        <w:pStyle w:val="10"/>
        <w:autoSpaceDN w:val="0"/>
        <w:spacing w:line="576"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11.承办人大常委会及领导交办的其他事项。</w:t>
      </w:r>
    </w:p>
    <w:p>
      <w:pPr>
        <w:pStyle w:val="10"/>
        <w:autoSpaceDN w:val="0"/>
        <w:spacing w:line="576" w:lineRule="exact"/>
        <w:ind w:firstLine="640"/>
        <w:rPr>
          <w:sz w:val="32"/>
          <w:szCs w:val="32"/>
        </w:rPr>
      </w:pPr>
      <w:r>
        <w:rPr>
          <w:rFonts w:hint="eastAsia" w:ascii="仿宋_GB2312" w:eastAsia="仿宋_GB2312"/>
          <w:color w:val="000000"/>
          <w:sz w:val="32"/>
          <w:szCs w:val="32"/>
        </w:rPr>
        <w:t>人大常委会办公室不设内设机构，行政编制7名。人大常委会领导指数5名；人大办公室领导指数2名。</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3"/>
        <w:gridCol w:w="1562"/>
        <w:gridCol w:w="1491"/>
        <w:gridCol w:w="1188"/>
        <w:gridCol w:w="1214"/>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125"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91"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8"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532"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5"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1"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316.18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316.18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316.18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316.18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4"/>
        <w:gridCol w:w="1862"/>
        <w:gridCol w:w="1267"/>
        <w:gridCol w:w="1267"/>
        <w:gridCol w:w="1266"/>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237.43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237.43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人大监督</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人大代表履职能力提升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代表工作</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3010199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其他人大事务支出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316.18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7"/>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1"/>
        <w:gridCol w:w="2041"/>
        <w:gridCol w:w="1370"/>
        <w:gridCol w:w="1209"/>
        <w:gridCol w:w="1415"/>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8835" w:type="dxa"/>
            <w:gridSpan w:val="6"/>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41" w:type="dxa"/>
            <w:shd w:val="clear" w:color="auto" w:fill="auto"/>
            <w:vAlign w:val="bottom"/>
          </w:tcPr>
          <w:p>
            <w:pPr>
              <w:jc w:val="both"/>
              <w:rPr>
                <w:rFonts w:hint="eastAsia" w:ascii="宋体" w:hAnsi="宋体" w:eastAsia="宋体" w:cs="宋体"/>
                <w:i w:val="0"/>
                <w:color w:val="000000"/>
                <w:sz w:val="21"/>
                <w:szCs w:val="21"/>
                <w:u w:val="none"/>
              </w:rPr>
            </w:pPr>
          </w:p>
        </w:tc>
        <w:tc>
          <w:tcPr>
            <w:tcW w:w="2041" w:type="dxa"/>
            <w:shd w:val="clear" w:color="auto" w:fill="auto"/>
            <w:vAlign w:val="bottom"/>
          </w:tcPr>
          <w:p>
            <w:pPr>
              <w:jc w:val="both"/>
              <w:rPr>
                <w:rFonts w:hint="eastAsia" w:ascii="宋体" w:hAnsi="宋体" w:eastAsia="宋体" w:cs="宋体"/>
                <w:i w:val="0"/>
                <w:color w:val="000000"/>
                <w:sz w:val="22"/>
                <w:szCs w:val="22"/>
                <w:u w:val="none"/>
              </w:rPr>
            </w:pPr>
          </w:p>
        </w:tc>
        <w:tc>
          <w:tcPr>
            <w:tcW w:w="1370" w:type="dxa"/>
            <w:shd w:val="clear" w:color="auto" w:fill="auto"/>
            <w:vAlign w:val="bottom"/>
          </w:tcPr>
          <w:p>
            <w:pPr>
              <w:jc w:val="both"/>
              <w:rPr>
                <w:rFonts w:hint="eastAsia" w:ascii="宋体" w:hAnsi="宋体" w:eastAsia="宋体" w:cs="宋体"/>
                <w:i w:val="0"/>
                <w:color w:val="000000"/>
                <w:sz w:val="22"/>
                <w:szCs w:val="22"/>
                <w:u w:val="none"/>
              </w:rPr>
            </w:pPr>
          </w:p>
        </w:tc>
        <w:tc>
          <w:tcPr>
            <w:tcW w:w="1209" w:type="dxa"/>
            <w:shd w:val="clear" w:color="auto" w:fill="auto"/>
            <w:vAlign w:val="bottom"/>
          </w:tcPr>
          <w:p>
            <w:pPr>
              <w:jc w:val="both"/>
              <w:rPr>
                <w:rFonts w:hint="eastAsia" w:ascii="宋体" w:hAnsi="宋体" w:eastAsia="宋体" w:cs="宋体"/>
                <w:i w:val="0"/>
                <w:color w:val="000000"/>
                <w:sz w:val="22"/>
                <w:szCs w:val="22"/>
                <w:u w:val="none"/>
              </w:rPr>
            </w:pPr>
          </w:p>
        </w:tc>
        <w:tc>
          <w:tcPr>
            <w:tcW w:w="287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251.91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251.91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186.96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186.96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1"/>
                <w:szCs w:val="21"/>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48.52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b/>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32.31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培训费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4"/>
        <w:gridCol w:w="1444"/>
        <w:gridCol w:w="1444"/>
        <w:gridCol w:w="1444"/>
        <w:gridCol w:w="1444"/>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66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4"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44"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44"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44"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44"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45" w:type="dxa"/>
            <w:tcBorders>
              <w:bottom w:val="single" w:color="auto"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6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3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44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4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4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445"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1"/>
        <w:gridCol w:w="1295"/>
        <w:gridCol w:w="1030"/>
        <w:gridCol w:w="1031"/>
        <w:gridCol w:w="1031"/>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 xml:space="preserve">  2017年乃东区人大办政府性基金预算支出表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220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295" w:type="dxa"/>
            <w:shd w:val="clear" w:color="auto" w:fill="auto"/>
            <w:vAlign w:val="center"/>
          </w:tcPr>
          <w:p>
            <w:pPr>
              <w:rPr>
                <w:rFonts w:hint="eastAsia" w:ascii="宋体" w:hAnsi="宋体" w:eastAsia="宋体" w:cs="宋体"/>
                <w:i w:val="0"/>
                <w:color w:val="000000"/>
                <w:sz w:val="18"/>
                <w:szCs w:val="18"/>
                <w:u w:val="none"/>
              </w:rPr>
            </w:pPr>
          </w:p>
        </w:tc>
        <w:tc>
          <w:tcPr>
            <w:tcW w:w="1030"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2779"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注：乃东区人大2017年没有使用政府性基金安排的支出，故本表无数据。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11"/>
        <w:gridCol w:w="611"/>
        <w:gridCol w:w="1460"/>
        <w:gridCol w:w="3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shd w:val="clear" w:color="auto" w:fill="auto"/>
            <w:vAlign w:val="center"/>
          </w:tcPr>
          <w:p>
            <w:pPr>
              <w:jc w:val="left"/>
              <w:rPr>
                <w:rFonts w:hint="eastAsia" w:ascii="宋体" w:hAnsi="宋体" w:eastAsia="宋体" w:cs="宋体"/>
                <w:i w:val="0"/>
                <w:color w:val="000000"/>
                <w:sz w:val="21"/>
                <w:szCs w:val="21"/>
                <w:u w:val="none"/>
              </w:rPr>
            </w:pPr>
          </w:p>
        </w:tc>
        <w:tc>
          <w:tcPr>
            <w:tcW w:w="611" w:type="dxa"/>
            <w:shd w:val="clear" w:color="auto" w:fill="auto"/>
            <w:vAlign w:val="bottom"/>
          </w:tcPr>
          <w:p>
            <w:pPr>
              <w:rPr>
                <w:rFonts w:hint="eastAsia" w:ascii="宋体" w:hAnsi="宋体" w:eastAsia="宋体" w:cs="宋体"/>
                <w:i w:val="0"/>
                <w:color w:val="000000"/>
                <w:sz w:val="18"/>
                <w:szCs w:val="18"/>
                <w:u w:val="none"/>
              </w:rPr>
            </w:pPr>
          </w:p>
        </w:tc>
        <w:tc>
          <w:tcPr>
            <w:tcW w:w="1460" w:type="dxa"/>
            <w:shd w:val="clear" w:color="auto" w:fill="auto"/>
            <w:vAlign w:val="bottom"/>
          </w:tcPr>
          <w:p>
            <w:pPr>
              <w:rPr>
                <w:rFonts w:hint="eastAsia" w:ascii="宋体" w:hAnsi="宋体" w:eastAsia="宋体" w:cs="宋体"/>
                <w:i w:val="0"/>
                <w:color w:val="000000"/>
                <w:sz w:val="18"/>
                <w:szCs w:val="18"/>
                <w:u w:val="none"/>
              </w:rPr>
            </w:pPr>
          </w:p>
        </w:tc>
        <w:tc>
          <w:tcPr>
            <w:tcW w:w="345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316.18</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6"/>
        <w:gridCol w:w="1189"/>
        <w:gridCol w:w="523"/>
        <w:gridCol w:w="274"/>
        <w:gridCol w:w="641"/>
        <w:gridCol w:w="372"/>
        <w:gridCol w:w="269"/>
        <w:gridCol w:w="274"/>
        <w:gridCol w:w="244"/>
        <w:gridCol w:w="235"/>
        <w:gridCol w:w="215"/>
        <w:gridCol w:w="3744"/>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52" w:type="dxa"/>
            <w:gridSpan w:val="13"/>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4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189" w:type="dxa"/>
            <w:shd w:val="clear" w:color="auto" w:fill="auto"/>
            <w:vAlign w:val="bottom"/>
          </w:tcPr>
          <w:p>
            <w:pPr>
              <w:rPr>
                <w:rFonts w:hint="eastAsia" w:ascii="宋体" w:hAnsi="宋体" w:eastAsia="宋体" w:cs="宋体"/>
                <w:i w:val="0"/>
                <w:color w:val="000000"/>
                <w:sz w:val="18"/>
                <w:szCs w:val="18"/>
                <w:u w:val="none"/>
              </w:rPr>
            </w:pPr>
          </w:p>
        </w:tc>
        <w:tc>
          <w:tcPr>
            <w:tcW w:w="523" w:type="dxa"/>
            <w:shd w:val="clear" w:color="auto" w:fill="auto"/>
            <w:vAlign w:val="bottom"/>
          </w:tcPr>
          <w:p/>
        </w:tc>
        <w:tc>
          <w:tcPr>
            <w:tcW w:w="274" w:type="dxa"/>
            <w:shd w:val="clear" w:color="auto" w:fill="auto"/>
            <w:vAlign w:val="bottom"/>
          </w:tcPr>
          <w:p/>
        </w:tc>
        <w:tc>
          <w:tcPr>
            <w:tcW w:w="641" w:type="dxa"/>
            <w:shd w:val="clear" w:color="auto" w:fill="auto"/>
            <w:vAlign w:val="bottom"/>
          </w:tcPr>
          <w:p>
            <w:pPr>
              <w:rPr>
                <w:rFonts w:hint="eastAsia" w:ascii="宋体" w:hAnsi="宋体" w:eastAsia="宋体" w:cs="宋体"/>
                <w:i w:val="0"/>
                <w:color w:val="000000"/>
                <w:sz w:val="18"/>
                <w:szCs w:val="18"/>
                <w:u w:val="none"/>
              </w:rPr>
            </w:pPr>
          </w:p>
        </w:tc>
        <w:tc>
          <w:tcPr>
            <w:tcW w:w="372" w:type="dxa"/>
            <w:shd w:val="clear" w:color="auto" w:fill="auto"/>
            <w:vAlign w:val="bottom"/>
          </w:tcPr>
          <w:p/>
        </w:tc>
        <w:tc>
          <w:tcPr>
            <w:tcW w:w="269" w:type="dxa"/>
            <w:shd w:val="clear" w:color="auto" w:fill="auto"/>
            <w:vAlign w:val="bottom"/>
          </w:tcPr>
          <w:p/>
        </w:tc>
        <w:tc>
          <w:tcPr>
            <w:tcW w:w="274" w:type="dxa"/>
            <w:shd w:val="clear" w:color="auto" w:fill="auto"/>
            <w:vAlign w:val="bottom"/>
          </w:tcPr>
          <w:p>
            <w:pPr>
              <w:rPr>
                <w:rFonts w:hint="eastAsia" w:ascii="宋体" w:hAnsi="宋体" w:eastAsia="宋体" w:cs="宋体"/>
                <w:i w:val="0"/>
                <w:color w:val="000000"/>
                <w:sz w:val="18"/>
                <w:szCs w:val="18"/>
                <w:u w:val="none"/>
              </w:rPr>
            </w:pPr>
          </w:p>
        </w:tc>
        <w:tc>
          <w:tcPr>
            <w:tcW w:w="244" w:type="dxa"/>
            <w:shd w:val="clear" w:color="auto" w:fill="auto"/>
            <w:vAlign w:val="bottom"/>
          </w:tcPr>
          <w:p/>
        </w:tc>
        <w:tc>
          <w:tcPr>
            <w:tcW w:w="235" w:type="dxa"/>
            <w:shd w:val="clear" w:color="auto" w:fill="auto"/>
            <w:vAlign w:val="bottom"/>
          </w:tcPr>
          <w:p/>
        </w:tc>
        <w:tc>
          <w:tcPr>
            <w:tcW w:w="438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1020"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合计</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上年结转</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政府性基金预算拨款收入</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事业收入</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上级补助收入</w:t>
            </w: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下级单位上缴收入</w:t>
            </w: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其他收入</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5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316.18</w:t>
            </w:r>
          </w:p>
        </w:tc>
        <w:tc>
          <w:tcPr>
            <w:tcW w:w="27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316.18</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2010101</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5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237.43</w:t>
            </w:r>
          </w:p>
        </w:tc>
        <w:tc>
          <w:tcPr>
            <w:tcW w:w="27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237.43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2010106</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人大监督</w:t>
            </w:r>
          </w:p>
        </w:tc>
        <w:tc>
          <w:tcPr>
            <w:tcW w:w="5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10</w:t>
            </w:r>
          </w:p>
        </w:tc>
        <w:tc>
          <w:tcPr>
            <w:tcW w:w="27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人大代表履职能力提升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15.75</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15.75</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2010108</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代表工作</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11</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3010199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其他人大事务支出</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42</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26" w:type="dxa"/>
          <w:trHeight w:val="286"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24"/>
                <w:szCs w:val="24"/>
                <w:u w:val="none"/>
                <w:lang w:val="en-US" w:eastAsia="zh-CN" w:bidi="ar"/>
              </w:rPr>
              <w:t>316.18</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316.18</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2444"/>
        <w:gridCol w:w="1033"/>
        <w:gridCol w:w="960"/>
        <w:gridCol w:w="580"/>
        <w:gridCol w:w="864"/>
        <w:gridCol w:w="759"/>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2017年乃东区人大办部门支出总表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1" w:type="dxa"/>
            <w:shd w:val="clear" w:color="auto" w:fill="auto"/>
            <w:vAlign w:val="center"/>
          </w:tcPr>
          <w:p>
            <w:pPr>
              <w:jc w:val="left"/>
              <w:rPr>
                <w:rFonts w:hint="eastAsia" w:ascii="宋体" w:hAnsi="宋体" w:eastAsia="宋体" w:cs="宋体"/>
                <w:i w:val="0"/>
                <w:color w:val="000000"/>
                <w:sz w:val="21"/>
                <w:szCs w:val="21"/>
                <w:u w:val="none"/>
              </w:rPr>
            </w:pPr>
          </w:p>
        </w:tc>
        <w:tc>
          <w:tcPr>
            <w:tcW w:w="2444" w:type="dxa"/>
            <w:shd w:val="clear" w:color="auto" w:fill="auto"/>
            <w:vAlign w:val="center"/>
          </w:tcPr>
          <w:p>
            <w:pPr>
              <w:rPr>
                <w:rFonts w:hint="eastAsia" w:ascii="宋体" w:hAnsi="宋体" w:eastAsia="宋体" w:cs="宋体"/>
                <w:i w:val="0"/>
                <w:color w:val="000000"/>
                <w:sz w:val="22"/>
                <w:szCs w:val="22"/>
                <w:u w:val="none"/>
              </w:rPr>
            </w:pPr>
          </w:p>
        </w:tc>
        <w:tc>
          <w:tcPr>
            <w:tcW w:w="1033" w:type="dxa"/>
            <w:shd w:val="clear" w:color="auto" w:fill="auto"/>
            <w:vAlign w:val="center"/>
          </w:tcPr>
          <w:p>
            <w:pPr>
              <w:rPr>
                <w:rFonts w:hint="eastAsia" w:ascii="宋体" w:hAnsi="宋体" w:eastAsia="宋体" w:cs="宋体"/>
                <w:i w:val="0"/>
                <w:color w:val="000000"/>
                <w:sz w:val="22"/>
                <w:szCs w:val="22"/>
                <w:u w:val="none"/>
              </w:rPr>
            </w:pPr>
          </w:p>
        </w:tc>
        <w:tc>
          <w:tcPr>
            <w:tcW w:w="960" w:type="dxa"/>
            <w:shd w:val="clear" w:color="auto" w:fill="auto"/>
            <w:vAlign w:val="center"/>
          </w:tcPr>
          <w:p>
            <w:pPr>
              <w:rPr>
                <w:rFonts w:hint="eastAsia" w:ascii="宋体" w:hAnsi="宋体" w:eastAsia="宋体" w:cs="宋体"/>
                <w:i w:val="0"/>
                <w:color w:val="000000"/>
                <w:sz w:val="22"/>
                <w:szCs w:val="22"/>
                <w:u w:val="none"/>
              </w:rPr>
            </w:pPr>
          </w:p>
        </w:tc>
        <w:tc>
          <w:tcPr>
            <w:tcW w:w="580" w:type="dxa"/>
            <w:shd w:val="clear" w:color="auto" w:fill="auto"/>
            <w:vAlign w:val="center"/>
          </w:tcPr>
          <w:p>
            <w:pPr>
              <w:rPr>
                <w:rFonts w:hint="eastAsia" w:ascii="宋体" w:hAnsi="宋体" w:eastAsia="宋体" w:cs="宋体"/>
                <w:i w:val="0"/>
                <w:color w:val="000000"/>
                <w:sz w:val="22"/>
                <w:szCs w:val="22"/>
                <w:u w:val="none"/>
              </w:rPr>
            </w:pPr>
          </w:p>
        </w:tc>
        <w:tc>
          <w:tcPr>
            <w:tcW w:w="864" w:type="dxa"/>
            <w:shd w:val="clear" w:color="auto" w:fill="auto"/>
            <w:vAlign w:val="center"/>
          </w:tcPr>
          <w:p>
            <w:pPr>
              <w:rPr>
                <w:rFonts w:hint="eastAsia" w:ascii="宋体" w:hAnsi="宋体" w:eastAsia="宋体" w:cs="宋体"/>
                <w:i w:val="0"/>
                <w:color w:val="000000"/>
                <w:sz w:val="22"/>
                <w:szCs w:val="22"/>
                <w:u w:val="none"/>
              </w:rPr>
            </w:pPr>
          </w:p>
        </w:tc>
        <w:tc>
          <w:tcPr>
            <w:tcW w:w="1624"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316.18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2010101</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237.43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2010106</w:t>
            </w:r>
          </w:p>
        </w:tc>
        <w:tc>
          <w:tcPr>
            <w:tcW w:w="24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人大监督</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2010107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人大代表履职能力提升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15.75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15.75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316.18</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316.18</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一般公共服务支出316.18万元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度财政拨款万元（其中工资福利支出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299.87</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一般公共服务事务支出316.78万元</w:t>
      </w:r>
      <w:r>
        <w:rPr>
          <w:rFonts w:hint="eastAsia" w:ascii="仿宋_GB2312" w:hAnsi="仿宋_GB2312" w:eastAsia="仿宋_GB2312" w:cs="仿宋_GB2312"/>
          <w:color w:val="000000" w:themeColor="text1"/>
          <w:sz w:val="32"/>
          <w:szCs w:val="32"/>
          <w14:textFill>
            <w14:solidFill>
              <w14:schemeClr w14:val="tx1"/>
            </w14:solidFill>
          </w14:textFill>
        </w:rPr>
        <w:t>，占总比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201一般公共服务事务支出316.78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2012101行政运行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311.78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2013199其他党委办公厅（室）及相关机构事务支出5.0万元。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299.87</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60.68</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197.85</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34.5</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6.94</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0.58</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其他商品和服务支出0.2万元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2017年三公经费预算合计4.78万元，同比减少4.11万元，下降46.23%。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二是严把支出关，实现动态管理，是注重宣传，提高贯彻落实自觉性，在日常财政监督监管中注重对预算单位的业务辅导和政策宣传，将三公经费管理作为各单位的重要工作来抓，明确职责完善制度。 </w:t>
      </w:r>
    </w:p>
    <w:p>
      <w:pPr>
        <w:pStyle w:val="4"/>
        <w:shd w:val="clear" w:color="auto" w:fill="FFFFFF"/>
        <w:spacing w:before="0" w:beforeAutospacing="0" w:after="0" w:afterAutospacing="0"/>
        <w:ind w:firstLine="42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乃东区人大办2017年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元，其中基本收入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万元，项目收入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316.78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一般公共服务支出316.78万元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2017年人大机关运行经费预算为11.52万元，与2016年18.4万元相比减少6.88万元，减少37.39%。</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1、财政拨款收入：指同级财政当年拨付的资金。</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006140FC"/>
    <w:rsid w:val="0E8A37AD"/>
    <w:rsid w:val="1E8E3BE4"/>
    <w:rsid w:val="1F0D5063"/>
    <w:rsid w:val="23672AA3"/>
    <w:rsid w:val="25371F1B"/>
    <w:rsid w:val="2DB00825"/>
    <w:rsid w:val="2F942079"/>
    <w:rsid w:val="43E10E38"/>
    <w:rsid w:val="54D155E9"/>
    <w:rsid w:val="5567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01"/>
    <w:basedOn w:val="5"/>
    <w:uiPriority w:val="0"/>
    <w:rPr>
      <w:rFonts w:hint="eastAsia" w:ascii="宋体" w:hAnsi="宋体" w:eastAsia="宋体" w:cs="宋体"/>
      <w:color w:val="000000"/>
      <w:sz w:val="21"/>
      <w:szCs w:val="21"/>
      <w:u w:val="none"/>
    </w:rPr>
  </w:style>
  <w:style w:type="character" w:customStyle="1" w:styleId="15">
    <w:name w:val="font71"/>
    <w:basedOn w:val="5"/>
    <w:uiPriority w:val="0"/>
    <w:rPr>
      <w:rFonts w:hint="eastAsia" w:ascii="宋体" w:hAnsi="宋体" w:eastAsia="宋体" w:cs="宋体"/>
      <w:b/>
      <w:color w:val="000000"/>
      <w:sz w:val="24"/>
      <w:szCs w:val="24"/>
      <w:u w:val="none"/>
    </w:rPr>
  </w:style>
  <w:style w:type="character" w:customStyle="1" w:styleId="16">
    <w:name w:val="font61"/>
    <w:basedOn w:val="5"/>
    <w:uiPriority w:val="0"/>
    <w:rPr>
      <w:rFonts w:hint="eastAsia" w:ascii="宋体" w:hAnsi="宋体" w:eastAsia="宋体" w:cs="宋体"/>
      <w:color w:val="000000"/>
      <w:sz w:val="24"/>
      <w:szCs w:val="24"/>
      <w:u w:val="none"/>
    </w:rPr>
  </w:style>
  <w:style w:type="character" w:customStyle="1" w:styleId="17">
    <w:name w:val="font11"/>
    <w:basedOn w:val="5"/>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2018-12-18T05:01:17Z</cp:lastPrinted>
  <dcterms:modified xsi:type="dcterms:W3CDTF">2018-12-18T05:07:33Z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