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ind w:firstLine="640" w:firstLineChars="200"/>
        <w:jc w:val="left"/>
        <w:rPr>
          <w:rFonts w:eastAsia="仿宋_GB2312"/>
          <w:sz w:val="32"/>
        </w:rPr>
      </w:pPr>
      <w:r>
        <w:rPr>
          <w:rFonts w:eastAsia="仿宋_GB2312"/>
          <w:sz w:val="32"/>
          <w:szCs w:val="32"/>
          <w:shd w:val="clear" w:color="auto" w:fill="FFFFFF"/>
        </w:rPr>
        <w:t>根据《中共山南市委办公室 山南市人民政府办公室关于印发〈乃东区政府职能转变和机构改革方案〉的通知》（山委办〔2016〕74号）精神，</w:t>
      </w:r>
      <w:r>
        <w:rPr>
          <w:rFonts w:eastAsia="仿宋_GB2312"/>
          <w:sz w:val="32"/>
          <w:szCs w:val="32"/>
        </w:rPr>
        <w:t>设立乃东区人力资源和社会保障局（公务员局），正科级，为乃东区人民政府工作部门。</w:t>
      </w:r>
    </w:p>
    <w:p>
      <w:pPr>
        <w:spacing w:line="576" w:lineRule="exact"/>
        <w:ind w:firstLine="640" w:firstLineChars="200"/>
        <w:jc w:val="left"/>
        <w:rPr>
          <w:rFonts w:eastAsia="黑体"/>
          <w:sz w:val="32"/>
          <w:szCs w:val="32"/>
        </w:rPr>
      </w:pPr>
      <w:r>
        <w:rPr>
          <w:rFonts w:eastAsia="黑体"/>
          <w:sz w:val="32"/>
          <w:szCs w:val="32"/>
        </w:rPr>
        <w:t>一、职责调整</w:t>
      </w:r>
    </w:p>
    <w:p>
      <w:pPr>
        <w:spacing w:line="576" w:lineRule="exact"/>
        <w:ind w:firstLine="640" w:firstLineChars="200"/>
        <w:jc w:val="left"/>
        <w:rPr>
          <w:rFonts w:eastAsia="仿宋_GB2312"/>
          <w:sz w:val="32"/>
          <w:szCs w:val="32"/>
        </w:rPr>
      </w:pPr>
      <w:r>
        <w:rPr>
          <w:rFonts w:eastAsia="仿宋_GB2312"/>
          <w:sz w:val="32"/>
          <w:szCs w:val="32"/>
        </w:rPr>
        <w:t>（一）取消由国务院、自治区、市人民政府公布取消的行政审批事项。</w:t>
      </w:r>
    </w:p>
    <w:p>
      <w:pPr>
        <w:spacing w:line="576" w:lineRule="exact"/>
        <w:ind w:firstLine="640" w:firstLineChars="200"/>
        <w:jc w:val="left"/>
        <w:rPr>
          <w:rFonts w:ascii="宋体" w:hAnsi="宋体" w:eastAsia="仿宋_GB2312" w:cs="宋体"/>
          <w:sz w:val="32"/>
        </w:rPr>
      </w:pPr>
      <w:r>
        <w:rPr>
          <w:rFonts w:hint="eastAsia" w:eastAsia="仿宋_GB2312"/>
          <w:sz w:val="32"/>
          <w:szCs w:val="32"/>
          <w:lang w:eastAsia="zh-CN"/>
        </w:rPr>
        <w:t>（</w:t>
      </w:r>
      <w:r>
        <w:rPr>
          <w:rFonts w:eastAsia="仿宋_GB2312"/>
          <w:sz w:val="32"/>
          <w:szCs w:val="32"/>
        </w:rPr>
        <w:t>二</w:t>
      </w:r>
      <w:r>
        <w:rPr>
          <w:rFonts w:hint="eastAsia" w:eastAsia="仿宋_GB2312"/>
          <w:sz w:val="32"/>
          <w:szCs w:val="32"/>
          <w:lang w:eastAsia="zh-CN"/>
        </w:rPr>
        <w:t>）</w:t>
      </w:r>
      <w:r>
        <w:rPr>
          <w:rFonts w:ascii="宋体" w:hAnsi="宋体" w:eastAsia="仿宋_GB2312" w:cs="宋体"/>
          <w:sz w:val="32"/>
        </w:rPr>
        <w:t>取消参照国家</w:t>
      </w:r>
      <w:r>
        <w:rPr>
          <w:rFonts w:hint="eastAsia" w:ascii="宋体" w:hAnsi="宋体" w:eastAsia="仿宋_GB2312" w:cs="宋体"/>
          <w:sz w:val="32"/>
          <w:lang w:eastAsia="zh-CN"/>
        </w:rPr>
        <w:t>保管员</w:t>
      </w:r>
      <w:r>
        <w:rPr>
          <w:rFonts w:ascii="宋体" w:hAnsi="宋体" w:eastAsia="仿宋_GB2312" w:cs="宋体"/>
          <w:sz w:val="32"/>
        </w:rPr>
        <w:t>医疗补助实施范围审批</w:t>
      </w:r>
      <w:r>
        <w:rPr>
          <w:rFonts w:hint="eastAsia" w:ascii="宋体" w:hAnsi="宋体" w:eastAsia="仿宋_GB2312" w:cs="宋体"/>
          <w:sz w:val="32"/>
          <w:lang w:eastAsia="zh-CN"/>
        </w:rPr>
        <w:t>职责</w:t>
      </w:r>
      <w:r>
        <w:rPr>
          <w:rFonts w:ascii="宋体" w:hAnsi="宋体" w:eastAsia="仿宋_GB2312" w:cs="宋体"/>
          <w:sz w:val="32"/>
        </w:rPr>
        <w:t>。</w:t>
      </w:r>
    </w:p>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40" w:lineRule="exact"/>
        <w:ind w:left="0" w:leftChars="0" w:right="0" w:rightChars="0" w:firstLine="640" w:firstLineChars="200"/>
        <w:textAlignment w:val="auto"/>
        <w:outlineLvl w:val="9"/>
        <w:rPr>
          <w:rFonts w:hint="eastAsia" w:ascii="宋体" w:hAnsi="宋体" w:eastAsia="仿宋_GB2312" w:cs="宋体"/>
          <w:sz w:val="32"/>
          <w:lang w:eastAsia="zh-CN"/>
        </w:rPr>
      </w:pPr>
      <w:r>
        <w:rPr>
          <w:rFonts w:ascii="宋体" w:hAnsi="宋体" w:eastAsia="仿宋_GB2312" w:cs="宋体"/>
          <w:sz w:val="32"/>
        </w:rPr>
        <w:t>（</w:t>
      </w:r>
      <w:r>
        <w:rPr>
          <w:rFonts w:eastAsia="仿宋_GB2312"/>
          <w:sz w:val="32"/>
          <w:szCs w:val="32"/>
          <w:highlight w:val="none"/>
        </w:rPr>
        <w:t>三</w:t>
      </w:r>
      <w:r>
        <w:rPr>
          <w:rFonts w:ascii="宋体" w:hAnsi="宋体" w:eastAsia="仿宋_GB2312" w:cs="宋体"/>
          <w:sz w:val="32"/>
        </w:rPr>
        <w:t>）</w:t>
      </w:r>
      <w:r>
        <w:rPr>
          <w:rFonts w:hint="eastAsia" w:ascii="宋体" w:hAnsi="宋体" w:eastAsia="仿宋_GB2312" w:cs="宋体"/>
          <w:sz w:val="32"/>
          <w:lang w:eastAsia="zh-CN"/>
        </w:rPr>
        <w:t>取消基本医疗保险定点医疗机构资格审查职责</w:t>
      </w:r>
      <w:r>
        <w:rPr>
          <w:rFonts w:hint="eastAsia" w:ascii="宋体" w:hAnsi="宋体" w:eastAsia="仿宋_GB2312" w:cs="宋体"/>
          <w:sz w:val="32"/>
          <w:lang w:val="en-US" w:eastAsia="zh-CN"/>
        </w:rPr>
        <w:t>。</w:t>
      </w:r>
    </w:p>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40" w:lineRule="exact"/>
        <w:ind w:left="0" w:leftChars="0" w:right="0" w:rightChars="0" w:firstLine="640" w:firstLineChars="200"/>
        <w:textAlignment w:val="auto"/>
        <w:outlineLvl w:val="9"/>
        <w:rPr>
          <w:rFonts w:hint="eastAsia" w:ascii="宋体" w:hAnsi="宋体" w:eastAsia="仿宋_GB2312" w:cs="宋体"/>
          <w:sz w:val="32"/>
          <w:lang w:eastAsia="zh-CN"/>
        </w:rPr>
      </w:pPr>
      <w:r>
        <w:rPr>
          <w:rFonts w:ascii="宋体" w:hAnsi="宋体" w:eastAsia="仿宋_GB2312" w:cs="宋体"/>
          <w:sz w:val="32"/>
        </w:rPr>
        <w:t>（</w:t>
      </w:r>
      <w:r>
        <w:rPr>
          <w:rFonts w:eastAsia="仿宋_GB2312"/>
          <w:sz w:val="32"/>
          <w:szCs w:val="32"/>
        </w:rPr>
        <w:t>四</w:t>
      </w:r>
      <w:r>
        <w:rPr>
          <w:rFonts w:ascii="宋体" w:hAnsi="宋体" w:eastAsia="仿宋_GB2312" w:cs="宋体"/>
          <w:sz w:val="32"/>
        </w:rPr>
        <w:t>）</w:t>
      </w:r>
      <w:r>
        <w:rPr>
          <w:rFonts w:hint="eastAsia" w:ascii="宋体" w:hAnsi="宋体" w:eastAsia="仿宋_GB2312" w:cs="宋体"/>
          <w:sz w:val="32"/>
          <w:lang w:eastAsia="zh-CN"/>
        </w:rPr>
        <w:t>取消基本医疗保险定点零售药店资格审查职责。</w:t>
      </w:r>
    </w:p>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40" w:lineRule="exact"/>
        <w:ind w:left="0" w:leftChars="0" w:right="0" w:rightChars="0" w:firstLine="640" w:firstLineChars="200"/>
        <w:textAlignment w:val="auto"/>
        <w:outlineLvl w:val="9"/>
        <w:rPr>
          <w:rFonts w:hint="eastAsia" w:ascii="宋体" w:hAnsi="宋体" w:eastAsia="仿宋_GB2312" w:cs="宋体"/>
          <w:sz w:val="32"/>
          <w:lang w:eastAsia="zh-CN"/>
        </w:rPr>
      </w:pPr>
      <w:r>
        <w:rPr>
          <w:rFonts w:hint="eastAsia" w:ascii="宋体" w:hAnsi="宋体" w:eastAsia="仿宋_GB2312" w:cs="宋体"/>
          <w:sz w:val="32"/>
          <w:lang w:eastAsia="zh-CN"/>
        </w:rPr>
        <w:t>（</w:t>
      </w:r>
      <w:r>
        <w:rPr>
          <w:rFonts w:ascii="宋体" w:hAnsi="宋体" w:eastAsia="仿宋_GB2312" w:cs="宋体"/>
          <w:sz w:val="32"/>
        </w:rPr>
        <w:t>五</w:t>
      </w:r>
      <w:r>
        <w:rPr>
          <w:rFonts w:hint="eastAsia" w:ascii="宋体" w:hAnsi="宋体" w:eastAsia="仿宋_GB2312" w:cs="宋体"/>
          <w:sz w:val="32"/>
          <w:lang w:eastAsia="zh-CN"/>
        </w:rPr>
        <w:t>）</w:t>
      </w:r>
      <w:r>
        <w:rPr>
          <w:rFonts w:ascii="宋体" w:hAnsi="宋体" w:eastAsia="仿宋_GB2312" w:cs="宋体"/>
          <w:sz w:val="32"/>
        </w:rPr>
        <w:t>将</w:t>
      </w:r>
      <w:r>
        <w:rPr>
          <w:rFonts w:hint="eastAsia" w:ascii="宋体" w:hAnsi="宋体" w:eastAsia="仿宋_GB2312" w:cs="宋体"/>
          <w:sz w:val="32"/>
          <w:lang w:eastAsia="zh-CN"/>
        </w:rPr>
        <w:t>区</w:t>
      </w:r>
      <w:r>
        <w:rPr>
          <w:rFonts w:ascii="宋体" w:hAnsi="宋体" w:eastAsia="仿宋_GB2312" w:cs="宋体"/>
          <w:sz w:val="32"/>
        </w:rPr>
        <w:t>人力资源和社会保障</w:t>
      </w:r>
      <w:r>
        <w:rPr>
          <w:rFonts w:hint="eastAsia" w:ascii="宋体" w:hAnsi="宋体" w:eastAsia="仿宋_GB2312" w:cs="宋体"/>
          <w:sz w:val="32"/>
          <w:lang w:eastAsia="zh-CN"/>
        </w:rPr>
        <w:t>局（公务员局）的</w:t>
      </w:r>
      <w:r>
        <w:rPr>
          <w:rFonts w:ascii="宋体" w:hAnsi="宋体" w:eastAsia="仿宋_GB2312" w:cs="宋体"/>
          <w:sz w:val="32"/>
        </w:rPr>
        <w:t>劳动监察支队职责划入</w:t>
      </w:r>
      <w:r>
        <w:rPr>
          <w:rFonts w:hint="eastAsia" w:ascii="宋体" w:hAnsi="宋体" w:eastAsia="仿宋_GB2312" w:cs="宋体"/>
          <w:sz w:val="32"/>
          <w:lang w:eastAsia="zh-CN"/>
        </w:rPr>
        <w:t>区</w:t>
      </w:r>
      <w:r>
        <w:rPr>
          <w:rFonts w:ascii="宋体" w:hAnsi="宋体" w:eastAsia="仿宋_GB2312" w:cs="宋体"/>
          <w:sz w:val="32"/>
        </w:rPr>
        <w:t>综合执法局。</w:t>
      </w:r>
    </w:p>
    <w:p>
      <w:pPr>
        <w:spacing w:line="576" w:lineRule="exact"/>
        <w:ind w:firstLine="640" w:firstLineChars="200"/>
        <w:jc w:val="left"/>
        <w:rPr>
          <w:rFonts w:eastAsia="仿宋_GB2312"/>
          <w:sz w:val="32"/>
          <w:szCs w:val="32"/>
        </w:rPr>
      </w:pPr>
      <w:r>
        <w:rPr>
          <w:rFonts w:eastAsia="仿宋_GB2312"/>
          <w:sz w:val="32"/>
          <w:szCs w:val="32"/>
        </w:rPr>
        <w:t>（</w:t>
      </w:r>
      <w:r>
        <w:rPr>
          <w:rFonts w:ascii="宋体" w:hAnsi="宋体" w:eastAsia="仿宋_GB2312" w:cs="宋体"/>
          <w:sz w:val="32"/>
        </w:rPr>
        <w:t>六</w:t>
      </w:r>
      <w:r>
        <w:rPr>
          <w:rFonts w:eastAsia="仿宋_GB2312"/>
          <w:sz w:val="32"/>
          <w:szCs w:val="32"/>
        </w:rPr>
        <w:t>）承接初级职业技能资格证书职责。</w:t>
      </w:r>
    </w:p>
    <w:p>
      <w:pPr>
        <w:spacing w:line="576" w:lineRule="exact"/>
        <w:ind w:firstLine="640" w:firstLineChars="200"/>
        <w:jc w:val="left"/>
        <w:rPr>
          <w:rFonts w:eastAsia="仿宋_GB2312"/>
          <w:sz w:val="32"/>
          <w:szCs w:val="32"/>
          <w:highlight w:val="none"/>
        </w:rPr>
      </w:pPr>
      <w:r>
        <w:rPr>
          <w:rFonts w:eastAsia="仿宋_GB2312"/>
          <w:sz w:val="32"/>
          <w:szCs w:val="32"/>
          <w:highlight w:val="none"/>
        </w:rPr>
        <w:t>（</w:t>
      </w:r>
      <w:r>
        <w:rPr>
          <w:rFonts w:hint="eastAsia" w:eastAsia="仿宋_GB2312"/>
          <w:sz w:val="32"/>
          <w:szCs w:val="32"/>
          <w:lang w:eastAsia="zh-CN"/>
        </w:rPr>
        <w:t>七</w:t>
      </w:r>
      <w:r>
        <w:rPr>
          <w:rFonts w:eastAsia="仿宋_GB2312"/>
          <w:sz w:val="32"/>
          <w:szCs w:val="32"/>
          <w:highlight w:val="none"/>
        </w:rPr>
        <w:t>）增加机关事业单位工人退休审批事项。</w:t>
      </w:r>
    </w:p>
    <w:p>
      <w:pPr>
        <w:spacing w:line="576"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lang w:eastAsia="zh-CN"/>
        </w:rPr>
        <w:t>八</w:t>
      </w:r>
      <w:r>
        <w:rPr>
          <w:rFonts w:eastAsia="仿宋_GB2312"/>
          <w:sz w:val="32"/>
          <w:szCs w:val="32"/>
        </w:rPr>
        <w:t>）加强行政机关公务员统筹管理职责，促进行政机关及其公务员能力建设，提高行政效能。</w:t>
      </w:r>
    </w:p>
    <w:p>
      <w:pPr>
        <w:spacing w:line="576"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lang w:eastAsia="zh-CN"/>
        </w:rPr>
        <w:t>九</w:t>
      </w:r>
      <w:r>
        <w:rPr>
          <w:rFonts w:eastAsia="仿宋_GB2312"/>
          <w:sz w:val="32"/>
          <w:szCs w:val="32"/>
        </w:rPr>
        <w:t>）加强统筹城乡社会保障政策的职责，实施全民参保登记计划，提高经办能力。</w:t>
      </w:r>
    </w:p>
    <w:p>
      <w:pPr>
        <w:spacing w:line="576"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lang w:eastAsia="zh-CN"/>
        </w:rPr>
        <w:t>十</w:t>
      </w:r>
      <w:r>
        <w:rPr>
          <w:rFonts w:eastAsia="仿宋_GB2312"/>
          <w:sz w:val="32"/>
          <w:szCs w:val="32"/>
        </w:rPr>
        <w:t>）加强劳动关系协调、劳动保障监察、劳动人事争议调解、农牧民工工作协调的职责，切实维护劳动关系双方合法权益。</w:t>
      </w:r>
    </w:p>
    <w:p>
      <w:pPr>
        <w:spacing w:line="576" w:lineRule="exact"/>
        <w:ind w:firstLine="640" w:firstLineChars="200"/>
        <w:jc w:val="left"/>
        <w:rPr>
          <w:rFonts w:eastAsia="黑体"/>
          <w:sz w:val="32"/>
          <w:szCs w:val="32"/>
        </w:rPr>
      </w:pPr>
      <w:r>
        <w:rPr>
          <w:rFonts w:eastAsia="黑体"/>
          <w:sz w:val="32"/>
          <w:szCs w:val="32"/>
        </w:rPr>
        <w:t>二、主要职责</w:t>
      </w:r>
    </w:p>
    <w:p>
      <w:pPr>
        <w:spacing w:line="576" w:lineRule="exact"/>
        <w:ind w:firstLine="640" w:firstLineChars="200"/>
        <w:jc w:val="left"/>
        <w:rPr>
          <w:rFonts w:eastAsia="仿宋_GB2312"/>
          <w:sz w:val="32"/>
          <w:szCs w:val="32"/>
        </w:rPr>
      </w:pPr>
      <w:r>
        <w:rPr>
          <w:rFonts w:eastAsia="仿宋_GB2312"/>
          <w:sz w:val="32"/>
          <w:szCs w:val="32"/>
        </w:rPr>
        <w:t>（一）贯彻执行国家人力资源和社会保障的政策法规，根据自治区人力资源和社会保障地方性法规、规章，结合实际，拟订全区人力资源和社会保障事业发展规划，并组织实施和监督检查。</w:t>
      </w:r>
    </w:p>
    <w:p>
      <w:pPr>
        <w:spacing w:line="576" w:lineRule="exact"/>
        <w:ind w:firstLine="640" w:firstLineChars="200"/>
        <w:jc w:val="left"/>
        <w:rPr>
          <w:rFonts w:eastAsia="仿宋_GB2312"/>
          <w:sz w:val="32"/>
          <w:szCs w:val="32"/>
        </w:rPr>
      </w:pPr>
      <w:r>
        <w:rPr>
          <w:rFonts w:eastAsia="仿宋_GB2312"/>
          <w:sz w:val="32"/>
          <w:szCs w:val="32"/>
        </w:rPr>
        <w:t>（二）建立全区统一规范的人力资源市场，促进人力资源合理流动、有效配置。</w:t>
      </w:r>
    </w:p>
    <w:p>
      <w:pPr>
        <w:spacing w:line="576" w:lineRule="exact"/>
        <w:ind w:firstLine="640" w:firstLineChars="200"/>
        <w:jc w:val="left"/>
        <w:rPr>
          <w:rFonts w:eastAsia="仿宋_GB2312"/>
          <w:sz w:val="32"/>
          <w:szCs w:val="32"/>
        </w:rPr>
      </w:pPr>
      <w:r>
        <w:rPr>
          <w:rFonts w:eastAsia="仿宋_GB2312"/>
          <w:sz w:val="32"/>
          <w:szCs w:val="32"/>
        </w:rPr>
        <w:t>（三）负责全区促进就业工作。拟订统筹城乡就业发展规划并组织实施。完善公共就业服务体系，落实就业援助制度，完善职业资格制度，编制面向城乡劳动者的职业培训计划。落实高校毕业生就业政策，会同有关部门拟订高技能人才、农村实用人才培养和激励方案。</w:t>
      </w:r>
    </w:p>
    <w:p>
      <w:pPr>
        <w:spacing w:line="576" w:lineRule="exact"/>
        <w:ind w:firstLine="640" w:firstLineChars="200"/>
        <w:jc w:val="left"/>
        <w:rPr>
          <w:rFonts w:eastAsia="仿宋_GB2312"/>
          <w:sz w:val="32"/>
          <w:szCs w:val="32"/>
        </w:rPr>
      </w:pPr>
      <w:r>
        <w:rPr>
          <w:rFonts w:eastAsia="仿宋_GB2312"/>
          <w:sz w:val="32"/>
          <w:szCs w:val="32"/>
        </w:rPr>
        <w:t>（四）统筹建立覆盖全区城乡的社会保障体系。贯彻执行城乡社会保险及其补充保险政策和标准，贯彻执行区内外异地社会保险关系转续办法；编制全区机关事业单位基本养老保险计划。会同有关部门拟订社会保险及其补充保险基金的管理和监督办法。编制全区社会保险基金预决算草案，参与落实社会保险基金投资政策。</w:t>
      </w:r>
    </w:p>
    <w:p>
      <w:pPr>
        <w:spacing w:line="576" w:lineRule="exact"/>
        <w:ind w:firstLine="640" w:firstLineChars="200"/>
        <w:jc w:val="left"/>
        <w:rPr>
          <w:rFonts w:eastAsia="仿宋_GB2312"/>
          <w:sz w:val="32"/>
          <w:szCs w:val="32"/>
        </w:rPr>
      </w:pPr>
      <w:r>
        <w:rPr>
          <w:rFonts w:eastAsia="仿宋_GB2312"/>
          <w:sz w:val="32"/>
          <w:szCs w:val="32"/>
        </w:rPr>
        <w:t>（五）负责全区就业、失业和社会保险基金预测预警和信息引导，拟订应对预案，实施预防、调节和控制，保持就业形式稳定和社会保险基金总体收支平衡。</w:t>
      </w:r>
    </w:p>
    <w:p>
      <w:pPr>
        <w:spacing w:line="576" w:lineRule="exact"/>
        <w:ind w:firstLine="640" w:firstLineChars="200"/>
        <w:jc w:val="left"/>
        <w:rPr>
          <w:rFonts w:eastAsia="仿宋_GB2312"/>
          <w:sz w:val="32"/>
          <w:szCs w:val="32"/>
        </w:rPr>
      </w:pPr>
      <w:r>
        <w:rPr>
          <w:rFonts w:eastAsia="仿宋_GB2312"/>
          <w:sz w:val="32"/>
          <w:szCs w:val="32"/>
        </w:rPr>
        <w:t>（六）贯彻执行国家、自治区和市关于机关、事业单位人员工资收入分配政策与机关、企事业单位人员福利和离退休政策，负责拟订相关实施办法并组织实施。</w:t>
      </w:r>
    </w:p>
    <w:p>
      <w:pPr>
        <w:spacing w:line="576" w:lineRule="exact"/>
        <w:ind w:firstLine="640" w:firstLineChars="200"/>
        <w:jc w:val="left"/>
        <w:rPr>
          <w:rFonts w:eastAsia="仿宋_GB2312"/>
          <w:sz w:val="32"/>
          <w:szCs w:val="32"/>
        </w:rPr>
      </w:pPr>
      <w:r>
        <w:rPr>
          <w:rFonts w:eastAsia="仿宋_GB2312"/>
          <w:sz w:val="32"/>
          <w:szCs w:val="32"/>
        </w:rPr>
        <w:t>（七）会同有关部门指导全区事业单位人事制度改革，拟订事业单位人员和机关工勤人员管理办法并组织实施。参与人才管理工作，贯彻执行专业技术人员管理和继续教育政策；负责少数民族专业技术人才特殊培养工作；牵头推进深化职称制度改革工作</w:t>
      </w:r>
      <w:r>
        <w:rPr>
          <w:rFonts w:hint="eastAsia" w:eastAsia="仿宋_GB2312"/>
          <w:sz w:val="32"/>
          <w:szCs w:val="32"/>
          <w:lang w:eastAsia="zh-CN"/>
        </w:rPr>
        <w:t>，并承担发放</w:t>
      </w:r>
      <w:r>
        <w:rPr>
          <w:rFonts w:eastAsia="仿宋_GB2312"/>
          <w:sz w:val="32"/>
          <w:szCs w:val="32"/>
        </w:rPr>
        <w:t>初级职业技能资格证书</w:t>
      </w:r>
      <w:r>
        <w:rPr>
          <w:rFonts w:hint="eastAsia" w:eastAsia="仿宋_GB2312"/>
          <w:sz w:val="32"/>
          <w:szCs w:val="32"/>
          <w:lang w:eastAsia="zh-CN"/>
        </w:rPr>
        <w:t>的</w:t>
      </w:r>
      <w:r>
        <w:rPr>
          <w:rFonts w:eastAsia="仿宋_GB2312"/>
          <w:sz w:val="32"/>
          <w:szCs w:val="32"/>
        </w:rPr>
        <w:t>职责</w:t>
      </w:r>
      <w:r>
        <w:rPr>
          <w:rFonts w:hint="eastAsia" w:eastAsia="仿宋_GB2312"/>
          <w:sz w:val="32"/>
          <w:szCs w:val="32"/>
          <w:lang w:eastAsia="zh-CN"/>
        </w:rPr>
        <w:t>。</w:t>
      </w:r>
    </w:p>
    <w:p>
      <w:pPr>
        <w:spacing w:line="576" w:lineRule="exact"/>
        <w:ind w:firstLine="640" w:firstLineChars="200"/>
        <w:jc w:val="left"/>
        <w:rPr>
          <w:rFonts w:eastAsia="仿宋_GB2312"/>
          <w:sz w:val="32"/>
          <w:szCs w:val="32"/>
        </w:rPr>
      </w:pPr>
      <w:r>
        <w:rPr>
          <w:rFonts w:eastAsia="仿宋_GB2312"/>
          <w:sz w:val="32"/>
          <w:szCs w:val="32"/>
        </w:rPr>
        <w:t>（八）贯彻执行自治区引进国（境）外人才和智力政策，编制全区引进国（境）外智力的中长期规划和年度计划。</w:t>
      </w:r>
    </w:p>
    <w:p>
      <w:pPr>
        <w:spacing w:line="576" w:lineRule="exact"/>
        <w:ind w:firstLine="640" w:firstLineChars="200"/>
        <w:jc w:val="left"/>
        <w:rPr>
          <w:rFonts w:eastAsia="仿宋_GB2312"/>
          <w:sz w:val="32"/>
          <w:szCs w:val="32"/>
        </w:rPr>
      </w:pPr>
      <w:r>
        <w:rPr>
          <w:rFonts w:eastAsia="仿宋_GB2312"/>
          <w:sz w:val="32"/>
          <w:szCs w:val="32"/>
        </w:rPr>
        <w:t>（九）贯彻执行军队转业干部安置政策和安置计划，负责军队转业干部教育培训工作；负责落实部分企业军队转业干部解困和稳定政策；负责自主择业军队转业干部管理服务工作。</w:t>
      </w:r>
    </w:p>
    <w:p>
      <w:pPr>
        <w:spacing w:line="576" w:lineRule="exact"/>
        <w:ind w:firstLine="640" w:firstLineChars="200"/>
        <w:jc w:val="left"/>
        <w:rPr>
          <w:rFonts w:eastAsia="仿宋_GB2312"/>
          <w:sz w:val="32"/>
          <w:szCs w:val="32"/>
        </w:rPr>
      </w:pPr>
      <w:r>
        <w:rPr>
          <w:rFonts w:eastAsia="仿宋_GB2312"/>
          <w:sz w:val="32"/>
          <w:szCs w:val="32"/>
        </w:rPr>
        <w:t>（十）负责全区政府部门公务员综合管理，会同有关部门拟订公务员职位分类标准和管理办法，拟订公开招考公务员（工作人员）工作方案、编制录用计划，经有关部门审核批准后组织实施；贯彻执行公务员考核制度和奖惩制度；负责全区公务员的培训教育工作拟订事业单位工作人员参照公务员法管理办法、聘任制公务员管理办法，并组织实施和监督检查；贯彻执行公务员行为规范、职业道德建设和能力建设意见，依法对公务员实施监督。负责公务员信息统计管理工作；贯彻执行有关人员调配政策和特殊人员安置政策，会同有关部门组织落实国家荣誉制度和政府奖励制度。</w:t>
      </w:r>
    </w:p>
    <w:p>
      <w:pPr>
        <w:spacing w:line="576" w:lineRule="exact"/>
        <w:ind w:firstLine="640" w:firstLineChars="200"/>
        <w:jc w:val="left"/>
        <w:rPr>
          <w:rFonts w:eastAsia="仿宋_GB2312"/>
          <w:sz w:val="32"/>
          <w:szCs w:val="32"/>
        </w:rPr>
      </w:pPr>
      <w:r>
        <w:rPr>
          <w:rFonts w:eastAsia="仿宋_GB2312"/>
          <w:sz w:val="32"/>
          <w:szCs w:val="32"/>
        </w:rPr>
        <w:t>（十一）贯彻执行农民工工作综合性政策，编制全区农民工工作规划，推动农民工相关政策的落实，协调解决重点、难点问题，维护农民工合法权益。</w:t>
      </w:r>
    </w:p>
    <w:p>
      <w:pPr>
        <w:spacing w:line="576" w:lineRule="exact"/>
        <w:ind w:firstLine="640" w:firstLineChars="200"/>
        <w:jc w:val="left"/>
        <w:rPr>
          <w:rFonts w:eastAsia="仿宋_GB2312"/>
          <w:sz w:val="32"/>
          <w:szCs w:val="32"/>
        </w:rPr>
      </w:pPr>
      <w:r>
        <w:rPr>
          <w:rFonts w:eastAsia="仿宋_GB2312"/>
          <w:sz w:val="32"/>
          <w:szCs w:val="32"/>
        </w:rPr>
        <w:t>（十二）统筹实施劳动、人事争议调解仲裁制度；落实劳动关系政策，完善劳动关系协调机制，监督落实消除非法使用童工政策和女工、未成年工的特殊劳动保护政策，组织实施劳动监察，协调劳动者维权工作，依法查处重大案件。</w:t>
      </w:r>
    </w:p>
    <w:p>
      <w:pPr>
        <w:spacing w:line="576" w:lineRule="exact"/>
        <w:ind w:firstLine="640" w:firstLineChars="200"/>
        <w:jc w:val="left"/>
        <w:rPr>
          <w:rFonts w:eastAsia="仿宋_GB2312"/>
          <w:sz w:val="32"/>
          <w:szCs w:val="32"/>
        </w:rPr>
      </w:pPr>
      <w:r>
        <w:rPr>
          <w:rFonts w:eastAsia="仿宋_GB2312"/>
          <w:sz w:val="32"/>
          <w:szCs w:val="32"/>
        </w:rPr>
        <w:t>（十三）负责建设覆盖全区各级就业服务机构和街道社区的人力资源管理信息系统，及时搜集、发布岗位信息和求职信息；指导和建设覆盖全区各级社会保险经办机构、定点医疗机构、定点药店、银行和社区的社会保险管理信息系统；负责全区人力资源和社会保障网建设和维护。</w:t>
      </w:r>
    </w:p>
    <w:p>
      <w:pPr>
        <w:spacing w:line="576" w:lineRule="exact"/>
        <w:ind w:firstLine="640" w:firstLineChars="200"/>
        <w:jc w:val="left"/>
        <w:rPr>
          <w:rFonts w:eastAsia="仿宋_GB2312"/>
          <w:sz w:val="32"/>
          <w:szCs w:val="32"/>
        </w:rPr>
      </w:pPr>
      <w:r>
        <w:rPr>
          <w:rFonts w:eastAsia="仿宋_GB2312"/>
          <w:sz w:val="32"/>
          <w:szCs w:val="32"/>
        </w:rPr>
        <w:t>（十四）承办区政府交办的其他事项。</w:t>
      </w:r>
    </w:p>
    <w:p>
      <w:pPr>
        <w:spacing w:line="576" w:lineRule="exact"/>
        <w:ind w:firstLine="640" w:firstLineChars="200"/>
        <w:jc w:val="left"/>
        <w:rPr>
          <w:rFonts w:eastAsia="黑体"/>
          <w:sz w:val="32"/>
          <w:szCs w:val="32"/>
        </w:rPr>
      </w:pPr>
      <w:r>
        <w:rPr>
          <w:rFonts w:eastAsia="黑体"/>
          <w:sz w:val="32"/>
          <w:szCs w:val="32"/>
        </w:rPr>
        <w:t>三、内设机构</w:t>
      </w:r>
    </w:p>
    <w:p>
      <w:pPr>
        <w:spacing w:line="576" w:lineRule="exact"/>
        <w:ind w:firstLine="640" w:firstLineChars="200"/>
        <w:jc w:val="left"/>
        <w:rPr>
          <w:rFonts w:eastAsia="黑体"/>
          <w:sz w:val="32"/>
          <w:szCs w:val="32"/>
        </w:rPr>
      </w:pPr>
      <w:r>
        <w:rPr>
          <w:rFonts w:eastAsia="仿宋_GB2312"/>
          <w:sz w:val="32"/>
          <w:szCs w:val="32"/>
        </w:rPr>
        <w:t>乃东区人力资源和社会保障局（公务员局）不设内设机构。</w:t>
      </w:r>
    </w:p>
    <w:p>
      <w:pPr>
        <w:spacing w:line="576" w:lineRule="exact"/>
        <w:ind w:firstLine="640" w:firstLineChars="200"/>
        <w:jc w:val="left"/>
        <w:rPr>
          <w:rFonts w:eastAsia="黑体"/>
          <w:sz w:val="32"/>
          <w:szCs w:val="32"/>
        </w:rPr>
      </w:pPr>
      <w:r>
        <w:rPr>
          <w:rFonts w:eastAsia="黑体"/>
          <w:sz w:val="32"/>
          <w:szCs w:val="32"/>
        </w:rPr>
        <w:t>四、人员编制和领导职数</w:t>
      </w:r>
    </w:p>
    <w:p>
      <w:pPr>
        <w:spacing w:line="576" w:lineRule="exact"/>
        <w:ind w:firstLine="640" w:firstLineChars="200"/>
        <w:jc w:val="left"/>
        <w:rPr>
          <w:rFonts w:eastAsia="仿宋_GB2312"/>
          <w:sz w:val="32"/>
          <w:szCs w:val="32"/>
        </w:rPr>
      </w:pPr>
      <w:r>
        <w:rPr>
          <w:rFonts w:eastAsia="仿宋_GB2312"/>
          <w:sz w:val="32"/>
          <w:szCs w:val="32"/>
        </w:rPr>
        <w:t>乃东区人力资源和社会保障局（公务员局）核定编制</w:t>
      </w:r>
      <w:r>
        <w:rPr>
          <w:rFonts w:hint="eastAsia" w:eastAsia="仿宋_GB2312"/>
          <w:sz w:val="32"/>
          <w:szCs w:val="32"/>
        </w:rPr>
        <w:t>8</w:t>
      </w:r>
      <w:r>
        <w:rPr>
          <w:rFonts w:eastAsia="仿宋_GB2312"/>
          <w:sz w:val="32"/>
          <w:szCs w:val="32"/>
        </w:rPr>
        <w:t>名。其中：行政编制</w:t>
      </w:r>
      <w:r>
        <w:rPr>
          <w:rFonts w:hint="eastAsia" w:eastAsia="仿宋_GB2312"/>
          <w:sz w:val="32"/>
          <w:szCs w:val="32"/>
        </w:rPr>
        <w:t>3</w:t>
      </w:r>
      <w:r>
        <w:rPr>
          <w:rFonts w:eastAsia="仿宋_GB2312"/>
          <w:sz w:val="32"/>
          <w:szCs w:val="32"/>
        </w:rPr>
        <w:t>名，事业编制</w:t>
      </w:r>
      <w:r>
        <w:rPr>
          <w:rFonts w:hint="eastAsia" w:eastAsia="仿宋_GB2312"/>
          <w:sz w:val="32"/>
          <w:szCs w:val="32"/>
        </w:rPr>
        <w:t>5</w:t>
      </w:r>
      <w:r>
        <w:rPr>
          <w:rFonts w:eastAsia="仿宋_GB2312"/>
          <w:sz w:val="32"/>
          <w:szCs w:val="32"/>
        </w:rPr>
        <w:t>名。</w:t>
      </w:r>
    </w:p>
    <w:p>
      <w:pPr>
        <w:spacing w:line="576" w:lineRule="exact"/>
        <w:ind w:firstLine="640" w:firstLineChars="200"/>
        <w:jc w:val="left"/>
        <w:rPr>
          <w:rFonts w:eastAsia="仿宋_GB2312"/>
          <w:sz w:val="32"/>
          <w:szCs w:val="32"/>
        </w:rPr>
      </w:pPr>
      <w:r>
        <w:rPr>
          <w:rFonts w:eastAsia="仿宋_GB2312"/>
          <w:sz w:val="32"/>
          <w:szCs w:val="32"/>
        </w:rPr>
        <w:t>领导职数：核定局领导职数</w:t>
      </w:r>
      <w:r>
        <w:rPr>
          <w:rFonts w:hint="eastAsia" w:eastAsia="仿宋_GB2312"/>
          <w:sz w:val="32"/>
          <w:szCs w:val="32"/>
        </w:rPr>
        <w:t>5</w:t>
      </w:r>
      <w:r>
        <w:rPr>
          <w:rFonts w:eastAsia="仿宋_GB2312"/>
          <w:sz w:val="32"/>
          <w:szCs w:val="32"/>
        </w:rPr>
        <w:t>名。</w:t>
      </w:r>
    </w:p>
    <w:p>
      <w:pPr>
        <w:spacing w:line="576" w:lineRule="exact"/>
        <w:ind w:firstLine="640" w:firstLineChars="200"/>
        <w:jc w:val="left"/>
        <w:rPr>
          <w:rFonts w:eastAsia="黑体"/>
          <w:sz w:val="32"/>
          <w:szCs w:val="32"/>
        </w:rPr>
      </w:pPr>
      <w:r>
        <w:rPr>
          <w:rFonts w:eastAsia="黑体"/>
          <w:sz w:val="32"/>
          <w:szCs w:val="32"/>
        </w:rPr>
        <w:t>五、其他事项</w:t>
      </w:r>
    </w:p>
    <w:p>
      <w:pPr>
        <w:spacing w:line="576" w:lineRule="exact"/>
        <w:ind w:firstLine="640" w:firstLineChars="200"/>
        <w:jc w:val="left"/>
        <w:rPr>
          <w:rFonts w:eastAsia="仿宋_GB2312"/>
          <w:sz w:val="32"/>
          <w:szCs w:val="32"/>
        </w:rPr>
      </w:pPr>
      <w:r>
        <w:rPr>
          <w:rFonts w:eastAsia="仿宋_GB2312"/>
          <w:sz w:val="32"/>
          <w:szCs w:val="32"/>
        </w:rPr>
        <w:t>（一）区公务员局职责中涉及的公务员和参照公务员法管理单位工作人员的范围分别是：政府机关公务员和政府序列参照公务员法管理事业单位工作人员。</w:t>
      </w:r>
    </w:p>
    <w:p>
      <w:pPr>
        <w:spacing w:line="576" w:lineRule="exact"/>
        <w:ind w:firstLine="640" w:firstLineChars="200"/>
        <w:jc w:val="left"/>
        <w:rPr>
          <w:rFonts w:eastAsia="仿宋_GB2312"/>
          <w:sz w:val="32"/>
          <w:szCs w:val="32"/>
        </w:rPr>
      </w:pPr>
      <w:r>
        <w:rPr>
          <w:rFonts w:eastAsia="仿宋_GB2312"/>
          <w:sz w:val="32"/>
          <w:szCs w:val="32"/>
        </w:rPr>
        <w:t>（二）中初等职业学校毕业生就业管理的职责分工。中初等毕业生离校后就业指导和服务工作，由区人力资源和社会保障局（公务员局）牵头负责。毕业生离校前的就业指导和服务工作，由区教育局（体育局）牵头负责。</w:t>
      </w:r>
    </w:p>
    <w:p>
      <w:pPr>
        <w:spacing w:line="576" w:lineRule="exact"/>
        <w:ind w:firstLine="640" w:firstLineChars="200"/>
        <w:jc w:val="left"/>
        <w:rPr>
          <w:rFonts w:eastAsia="仿宋_GB2312"/>
          <w:sz w:val="32"/>
          <w:szCs w:val="32"/>
        </w:rPr>
      </w:pPr>
      <w:r>
        <w:rPr>
          <w:rFonts w:eastAsia="仿宋_GB2312"/>
          <w:sz w:val="32"/>
          <w:szCs w:val="32"/>
        </w:rPr>
        <w:t>（三）农村劳动力（含农民工）转移就业培训的职责分工。区“双业”工程领导小组牵头拟订农村劳动力转移就业培训措施、中长期规划和年度计划并组织实施；区人力资源和社会保障局（</w:t>
      </w:r>
      <w:r>
        <w:rPr>
          <w:rFonts w:eastAsia="仿宋_GB2312"/>
          <w:strike/>
          <w:dstrike w:val="0"/>
          <w:sz w:val="32"/>
          <w:szCs w:val="32"/>
        </w:rPr>
        <w:t>区</w:t>
      </w:r>
      <w:r>
        <w:rPr>
          <w:rFonts w:eastAsia="仿宋_GB2312"/>
          <w:sz w:val="32"/>
          <w:szCs w:val="32"/>
        </w:rPr>
        <w:t>公务员局）、区农牧局、区扶贫开发办公室（</w:t>
      </w:r>
      <w:r>
        <w:rPr>
          <w:rFonts w:eastAsia="仿宋_GB2312"/>
          <w:strike/>
          <w:dstrike w:val="0"/>
          <w:sz w:val="32"/>
          <w:szCs w:val="32"/>
        </w:rPr>
        <w:t>区</w:t>
      </w:r>
      <w:r>
        <w:rPr>
          <w:rFonts w:eastAsia="仿宋_GB2312"/>
          <w:sz w:val="32"/>
          <w:szCs w:val="32"/>
        </w:rPr>
        <w:t>农业综合开发办公室）协助做好相关工作。</w:t>
      </w:r>
    </w:p>
    <w:p>
      <w:pPr>
        <w:spacing w:line="576" w:lineRule="exact"/>
        <w:ind w:firstLine="640" w:firstLineChars="200"/>
        <w:jc w:val="left"/>
        <w:rPr>
          <w:rFonts w:eastAsia="黑体"/>
          <w:sz w:val="32"/>
          <w:szCs w:val="32"/>
        </w:rPr>
      </w:pPr>
      <w:r>
        <w:rPr>
          <w:rFonts w:eastAsia="黑体"/>
          <w:sz w:val="32"/>
          <w:szCs w:val="32"/>
        </w:rPr>
        <w:t>六、附则</w:t>
      </w:r>
    </w:p>
    <w:p>
      <w:pPr>
        <w:spacing w:line="576" w:lineRule="exact"/>
        <w:ind w:firstLine="640" w:firstLineChars="200"/>
        <w:jc w:val="left"/>
        <w:rPr>
          <w:rFonts w:eastAsia="仿宋_GB2312"/>
          <w:sz w:val="32"/>
          <w:szCs w:val="32"/>
        </w:rPr>
      </w:pPr>
      <w:r>
        <w:rPr>
          <w:rFonts w:eastAsia="仿宋_GB2312"/>
          <w:sz w:val="32"/>
          <w:szCs w:val="32"/>
        </w:rPr>
        <w:t>（一）本规定由区机构编制办委员会负责解释，其调整由区机构编制委员会办公室按规定程序办理。</w:t>
      </w:r>
    </w:p>
    <w:p>
      <w:pPr>
        <w:pStyle w:val="10"/>
        <w:autoSpaceDN w:val="0"/>
        <w:spacing w:line="576" w:lineRule="exact"/>
        <w:rPr>
          <w:rFonts w:eastAsia="仿宋_GB2312"/>
          <w:sz w:val="32"/>
          <w:szCs w:val="32"/>
        </w:rPr>
      </w:pPr>
      <w:r>
        <w:rPr>
          <w:rFonts w:eastAsia="仿宋_GB2312"/>
          <w:sz w:val="32"/>
          <w:szCs w:val="32"/>
        </w:rPr>
        <w:t>（二）区机构编制委员会办公室负责对区人力资源和社会保障局（公务员局）职责履行情况进行监督检查。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8"/>
        <w:gridCol w:w="1563"/>
        <w:gridCol w:w="1428"/>
        <w:gridCol w:w="1157"/>
        <w:gridCol w:w="1229"/>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21"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8"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7"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630"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1"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5"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1871.32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1871.32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4016.73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4016.73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4016.73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5"/>
        <w:gridCol w:w="2101"/>
        <w:gridCol w:w="1333"/>
        <w:gridCol w:w="1334"/>
        <w:gridCol w:w="1331"/>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7"/>
                <w:lang w:val="en-US" w:eastAsia="zh-CN" w:bidi="ar"/>
              </w:rPr>
              <w:t>7年预算数</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1871.32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1849.72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2080101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287.81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2080199</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2080705</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2082602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财政对城乡居民基本养老保险基金的补助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财政对失业保险基金的补助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财政对工伤保险基金的补助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2080703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财政对生育保险基金的补助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2101199</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其他行政事业单位医疗保险基金的补助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2101201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财政对城镇职工基本医疗保险基金的补助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2101299</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财政对其他基本医疗保险保险基金的补助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4016.73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3995.13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8"/>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4"/>
        <w:gridCol w:w="1917"/>
        <w:gridCol w:w="1309"/>
        <w:gridCol w:w="1159"/>
        <w:gridCol w:w="1347"/>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36" w:type="dxa"/>
            <w:gridSpan w:val="6"/>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4" w:type="dxa"/>
            <w:shd w:val="clear" w:color="auto" w:fill="auto"/>
            <w:vAlign w:val="bottom"/>
          </w:tcPr>
          <w:p>
            <w:pPr>
              <w:jc w:val="both"/>
              <w:rPr>
                <w:rFonts w:hint="eastAsia" w:ascii="宋体" w:hAnsi="宋体" w:eastAsia="宋体" w:cs="宋体"/>
                <w:i w:val="0"/>
                <w:color w:val="000000"/>
                <w:sz w:val="21"/>
                <w:szCs w:val="21"/>
                <w:u w:val="none"/>
              </w:rPr>
            </w:pPr>
          </w:p>
        </w:tc>
        <w:tc>
          <w:tcPr>
            <w:tcW w:w="1917" w:type="dxa"/>
            <w:shd w:val="clear" w:color="auto" w:fill="auto"/>
            <w:vAlign w:val="bottom"/>
          </w:tcPr>
          <w:p>
            <w:pPr>
              <w:jc w:val="both"/>
              <w:rPr>
                <w:rFonts w:hint="eastAsia" w:ascii="宋体" w:hAnsi="宋体" w:eastAsia="宋体" w:cs="宋体"/>
                <w:i w:val="0"/>
                <w:color w:val="000000"/>
                <w:sz w:val="22"/>
                <w:szCs w:val="22"/>
                <w:u w:val="none"/>
              </w:rPr>
            </w:pPr>
          </w:p>
        </w:tc>
        <w:tc>
          <w:tcPr>
            <w:tcW w:w="1309" w:type="dxa"/>
            <w:shd w:val="clear" w:color="auto" w:fill="auto"/>
            <w:vAlign w:val="bottom"/>
          </w:tcPr>
          <w:p>
            <w:pPr>
              <w:jc w:val="both"/>
              <w:rPr>
                <w:rFonts w:hint="eastAsia" w:ascii="宋体" w:hAnsi="宋体" w:eastAsia="宋体" w:cs="宋体"/>
                <w:i w:val="0"/>
                <w:color w:val="000000"/>
                <w:sz w:val="22"/>
                <w:szCs w:val="22"/>
                <w:u w:val="none"/>
              </w:rPr>
            </w:pPr>
          </w:p>
        </w:tc>
        <w:tc>
          <w:tcPr>
            <w:tcW w:w="1159" w:type="dxa"/>
            <w:shd w:val="clear" w:color="auto" w:fill="auto"/>
            <w:vAlign w:val="bottom"/>
          </w:tcPr>
          <w:p>
            <w:pPr>
              <w:jc w:val="both"/>
              <w:rPr>
                <w:rFonts w:hint="eastAsia" w:ascii="宋体" w:hAnsi="宋体" w:eastAsia="宋体" w:cs="宋体"/>
                <w:i w:val="0"/>
                <w:color w:val="000000"/>
                <w:sz w:val="22"/>
                <w:szCs w:val="22"/>
                <w:u w:val="none"/>
              </w:rPr>
            </w:pPr>
          </w:p>
        </w:tc>
        <w:tc>
          <w:tcPr>
            <w:tcW w:w="2677"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9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81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33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33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3390.98</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3390.98</w:t>
            </w:r>
          </w:p>
        </w:tc>
        <w:tc>
          <w:tcPr>
            <w:tcW w:w="1347"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52.86</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52.86</w:t>
            </w:r>
          </w:p>
        </w:tc>
        <w:tc>
          <w:tcPr>
            <w:tcW w:w="1347"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137.56</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137.56</w:t>
            </w:r>
          </w:p>
        </w:tc>
        <w:tc>
          <w:tcPr>
            <w:tcW w:w="1347"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31.74</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31.74</w:t>
            </w:r>
          </w:p>
        </w:tc>
        <w:tc>
          <w:tcPr>
            <w:tcW w:w="1347"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3168.06</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3168.06</w:t>
            </w:r>
          </w:p>
        </w:tc>
        <w:tc>
          <w:tcPr>
            <w:tcW w:w="1347"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0.76</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0.76</w:t>
            </w:r>
          </w:p>
        </w:tc>
        <w:tc>
          <w:tcPr>
            <w:tcW w:w="1347"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47.26</w:t>
            </w:r>
          </w:p>
        </w:tc>
        <w:tc>
          <w:tcPr>
            <w:tcW w:w="1159"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b/>
                <w:i w:val="0"/>
                <w:color w:val="000000"/>
                <w:sz w:val="21"/>
                <w:szCs w:val="21"/>
                <w:u w:val="none"/>
              </w:rPr>
            </w:pPr>
          </w:p>
        </w:tc>
        <w:tc>
          <w:tcPr>
            <w:tcW w:w="1347"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41.71</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5.55</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5.55</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17.58</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17.58</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0.54</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0.54</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17.86</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17.86</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对个人和家庭的补助</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556.89</w:t>
            </w:r>
          </w:p>
        </w:tc>
        <w:tc>
          <w:tcPr>
            <w:tcW w:w="1159" w:type="dxa"/>
            <w:tcBorders>
              <w:bottom w:val="single" w:color="000000" w:sz="12" w:space="0"/>
              <w:right w:val="single" w:color="000000" w:sz="12" w:space="0"/>
            </w:tcBorders>
            <w:shd w:val="clear" w:color="auto" w:fill="auto"/>
            <w:vAlign w:val="bottom"/>
          </w:tcPr>
          <w:p>
            <w:pPr>
              <w:jc w:val="right"/>
              <w:rPr>
                <w:rFonts w:hint="eastAsia" w:ascii="宋体" w:hAnsi="宋体" w:eastAsia="宋体" w:cs="宋体"/>
                <w:b/>
                <w:i w:val="0"/>
                <w:color w:val="000000"/>
                <w:sz w:val="21"/>
                <w:szCs w:val="21"/>
                <w:u w:val="none"/>
              </w:rPr>
            </w:pPr>
          </w:p>
        </w:tc>
        <w:tc>
          <w:tcPr>
            <w:tcW w:w="1347"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556.89</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7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9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556.89</w:t>
            </w:r>
          </w:p>
        </w:tc>
        <w:tc>
          <w:tcPr>
            <w:tcW w:w="1159"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347" w:type="dxa"/>
            <w:tcBorders>
              <w:bottom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556.89</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19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0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3995.13</w:t>
            </w:r>
          </w:p>
        </w:tc>
        <w:tc>
          <w:tcPr>
            <w:tcW w:w="1159"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3390.98</w:t>
            </w:r>
          </w:p>
        </w:tc>
        <w:tc>
          <w:tcPr>
            <w:tcW w:w="1347"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41.71</w:t>
            </w:r>
          </w:p>
        </w:tc>
        <w:tc>
          <w:tcPr>
            <w:tcW w:w="1330" w:type="dxa"/>
            <w:tcBorders>
              <w:bottom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2017年乃东区人社局政府性基金预算支出表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9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color="auto" w:fill="auto"/>
            <w:vAlign w:val="center"/>
          </w:tcPr>
          <w:p>
            <w:pPr>
              <w:rPr>
                <w:rFonts w:hint="eastAsia" w:ascii="宋体" w:hAnsi="宋体" w:eastAsia="宋体" w:cs="宋体"/>
                <w:i w:val="0"/>
                <w:color w:val="000000"/>
                <w:sz w:val="18"/>
                <w:szCs w:val="18"/>
                <w:u w:val="none"/>
              </w:rPr>
            </w:pPr>
          </w:p>
        </w:tc>
        <w:tc>
          <w:tcPr>
            <w:tcW w:w="1130" w:type="dxa"/>
            <w:shd w:val="clear" w:color="auto" w:fill="auto"/>
            <w:vAlign w:val="center"/>
          </w:tcPr>
          <w:p>
            <w:pPr>
              <w:rPr>
                <w:rFonts w:hint="eastAsia" w:ascii="宋体" w:hAnsi="宋体" w:eastAsia="宋体" w:cs="宋体"/>
                <w:i w:val="0"/>
                <w:color w:val="000000"/>
                <w:sz w:val="18"/>
                <w:szCs w:val="18"/>
                <w:u w:val="none"/>
              </w:rPr>
            </w:pPr>
          </w:p>
        </w:tc>
        <w:tc>
          <w:tcPr>
            <w:tcW w:w="1131" w:type="dxa"/>
            <w:shd w:val="clear" w:color="auto" w:fill="auto"/>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注：乃东区人社局2017年没有使用政府性基金安排的支出，故本表无数据。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73"/>
        <w:gridCol w:w="2535"/>
        <w:gridCol w:w="1925"/>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190"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473" w:type="dxa"/>
            <w:shd w:val="clear" w:color="auto" w:fill="auto"/>
            <w:vAlign w:val="center"/>
          </w:tcPr>
          <w:p>
            <w:pPr>
              <w:jc w:val="left"/>
              <w:rPr>
                <w:rFonts w:hint="eastAsia" w:ascii="宋体" w:hAnsi="宋体" w:eastAsia="宋体" w:cs="宋体"/>
                <w:i w:val="0"/>
                <w:color w:val="000000"/>
                <w:sz w:val="21"/>
                <w:szCs w:val="21"/>
                <w:u w:val="none"/>
              </w:rPr>
            </w:pPr>
          </w:p>
        </w:tc>
        <w:tc>
          <w:tcPr>
            <w:tcW w:w="2535" w:type="dxa"/>
            <w:shd w:val="clear" w:color="auto" w:fill="auto"/>
            <w:vAlign w:val="bottom"/>
          </w:tcPr>
          <w:p>
            <w:pPr>
              <w:rPr>
                <w:rFonts w:hint="eastAsia" w:ascii="宋体" w:hAnsi="宋体" w:eastAsia="宋体" w:cs="宋体"/>
                <w:i w:val="0"/>
                <w:color w:val="000000"/>
                <w:sz w:val="18"/>
                <w:szCs w:val="18"/>
                <w:u w:val="none"/>
              </w:rPr>
            </w:pPr>
          </w:p>
        </w:tc>
        <w:tc>
          <w:tcPr>
            <w:tcW w:w="1925" w:type="dxa"/>
            <w:shd w:val="clear" w:color="auto" w:fill="auto"/>
            <w:vAlign w:val="bottom"/>
          </w:tcPr>
          <w:p>
            <w:pPr>
              <w:rPr>
                <w:rFonts w:hint="eastAsia" w:ascii="宋体" w:hAnsi="宋体" w:eastAsia="宋体" w:cs="宋体"/>
                <w:i w:val="0"/>
                <w:color w:val="000000"/>
                <w:sz w:val="18"/>
                <w:szCs w:val="18"/>
                <w:u w:val="none"/>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4016.73</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2039"/>
        <w:gridCol w:w="891"/>
        <w:gridCol w:w="457"/>
        <w:gridCol w:w="1094"/>
        <w:gridCol w:w="613"/>
        <w:gridCol w:w="402"/>
        <w:gridCol w:w="457"/>
        <w:gridCol w:w="410"/>
        <w:gridCol w:w="395"/>
        <w:gridCol w:w="333"/>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2039" w:type="dxa"/>
            <w:shd w:val="clear" w:color="auto" w:fill="auto"/>
            <w:vAlign w:val="bottom"/>
          </w:tcPr>
          <w:p>
            <w:pPr>
              <w:rPr>
                <w:rFonts w:hint="eastAsia" w:ascii="宋体" w:hAnsi="宋体" w:eastAsia="宋体" w:cs="宋体"/>
                <w:i w:val="0"/>
                <w:color w:val="000000"/>
                <w:sz w:val="18"/>
                <w:szCs w:val="18"/>
                <w:u w:val="none"/>
              </w:rPr>
            </w:pPr>
          </w:p>
        </w:tc>
        <w:tc>
          <w:tcPr>
            <w:tcW w:w="891" w:type="dxa"/>
            <w:shd w:val="clear" w:color="auto" w:fill="auto"/>
            <w:vAlign w:val="bottom"/>
          </w:tcPr>
          <w:p>
            <w:pPr>
              <w:rPr>
                <w:rFonts w:hint="eastAsia" w:ascii="宋体" w:hAnsi="宋体" w:eastAsia="宋体" w:cs="宋体"/>
                <w:i w:val="0"/>
                <w:color w:val="000000"/>
                <w:sz w:val="18"/>
                <w:szCs w:val="18"/>
                <w:u w:val="none"/>
              </w:rPr>
            </w:pPr>
          </w:p>
        </w:tc>
        <w:tc>
          <w:tcPr>
            <w:tcW w:w="457" w:type="dxa"/>
            <w:shd w:val="clear" w:color="auto" w:fill="auto"/>
            <w:vAlign w:val="bottom"/>
          </w:tcPr>
          <w:p>
            <w:pPr>
              <w:rPr>
                <w:rFonts w:hint="eastAsia" w:ascii="宋体" w:hAnsi="宋体" w:eastAsia="宋体" w:cs="宋体"/>
                <w:i w:val="0"/>
                <w:color w:val="000000"/>
                <w:sz w:val="18"/>
                <w:szCs w:val="18"/>
                <w:u w:val="none"/>
              </w:rPr>
            </w:pPr>
          </w:p>
        </w:tc>
        <w:tc>
          <w:tcPr>
            <w:tcW w:w="1094" w:type="dxa"/>
            <w:shd w:val="clear" w:color="auto" w:fill="auto"/>
            <w:vAlign w:val="bottom"/>
          </w:tcPr>
          <w:p>
            <w:pPr>
              <w:rPr>
                <w:rFonts w:hint="eastAsia" w:ascii="宋体" w:hAnsi="宋体" w:eastAsia="宋体" w:cs="宋体"/>
                <w:i w:val="0"/>
                <w:color w:val="000000"/>
                <w:sz w:val="18"/>
                <w:szCs w:val="18"/>
                <w:u w:val="none"/>
              </w:rPr>
            </w:pPr>
          </w:p>
        </w:tc>
        <w:tc>
          <w:tcPr>
            <w:tcW w:w="613" w:type="dxa"/>
            <w:shd w:val="clear" w:color="auto" w:fill="auto"/>
            <w:vAlign w:val="bottom"/>
          </w:tcPr>
          <w:p>
            <w:pPr>
              <w:rPr>
                <w:rFonts w:hint="eastAsia" w:ascii="宋体" w:hAnsi="宋体" w:eastAsia="宋体" w:cs="宋体"/>
                <w:i w:val="0"/>
                <w:color w:val="000000"/>
                <w:sz w:val="18"/>
                <w:szCs w:val="18"/>
                <w:u w:val="none"/>
              </w:rPr>
            </w:pPr>
          </w:p>
        </w:tc>
        <w:tc>
          <w:tcPr>
            <w:tcW w:w="402" w:type="dxa"/>
            <w:shd w:val="clear" w:color="auto" w:fill="auto"/>
            <w:vAlign w:val="bottom"/>
          </w:tcPr>
          <w:p>
            <w:pPr>
              <w:rPr>
                <w:rFonts w:hint="eastAsia" w:ascii="宋体" w:hAnsi="宋体" w:eastAsia="宋体" w:cs="宋体"/>
                <w:i w:val="0"/>
                <w:color w:val="000000"/>
                <w:sz w:val="18"/>
                <w:szCs w:val="18"/>
                <w:u w:val="none"/>
              </w:rPr>
            </w:pPr>
          </w:p>
        </w:tc>
        <w:tc>
          <w:tcPr>
            <w:tcW w:w="457" w:type="dxa"/>
            <w:shd w:val="clear" w:color="auto" w:fill="auto"/>
            <w:vAlign w:val="bottom"/>
          </w:tcPr>
          <w:p>
            <w:pPr>
              <w:rPr>
                <w:rFonts w:hint="eastAsia" w:ascii="宋体" w:hAnsi="宋体" w:eastAsia="宋体" w:cs="宋体"/>
                <w:i w:val="0"/>
                <w:color w:val="000000"/>
                <w:sz w:val="18"/>
                <w:szCs w:val="18"/>
                <w:u w:val="none"/>
              </w:rPr>
            </w:pPr>
          </w:p>
        </w:tc>
        <w:tc>
          <w:tcPr>
            <w:tcW w:w="410" w:type="dxa"/>
            <w:shd w:val="clear" w:color="auto" w:fill="auto"/>
            <w:vAlign w:val="bottom"/>
          </w:tcPr>
          <w:p>
            <w:pPr>
              <w:rPr>
                <w:rFonts w:hint="eastAsia" w:ascii="宋体" w:hAnsi="宋体" w:eastAsia="宋体" w:cs="宋体"/>
                <w:i w:val="0"/>
                <w:color w:val="000000"/>
                <w:sz w:val="18"/>
                <w:szCs w:val="18"/>
                <w:u w:val="none"/>
              </w:rPr>
            </w:pPr>
          </w:p>
        </w:tc>
        <w:tc>
          <w:tcPr>
            <w:tcW w:w="395" w:type="dxa"/>
            <w:shd w:val="clear" w:color="auto" w:fill="auto"/>
            <w:vAlign w:val="bottom"/>
          </w:tcPr>
          <w:p>
            <w:pPr>
              <w:rPr>
                <w:rFonts w:hint="eastAsia" w:ascii="宋体" w:hAnsi="宋体" w:eastAsia="宋体" w:cs="宋体"/>
                <w:i w:val="0"/>
                <w:color w:val="000000"/>
                <w:sz w:val="18"/>
                <w:szCs w:val="18"/>
                <w:u w:val="none"/>
              </w:rPr>
            </w:pPr>
          </w:p>
        </w:tc>
        <w:tc>
          <w:tcPr>
            <w:tcW w:w="81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3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03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1871.32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1871.32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2080101</w:t>
            </w:r>
          </w:p>
        </w:tc>
        <w:tc>
          <w:tcPr>
            <w:tcW w:w="203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287.81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287.81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2080199</w:t>
            </w:r>
          </w:p>
        </w:tc>
        <w:tc>
          <w:tcPr>
            <w:tcW w:w="203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2082602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财政对城乡居民基本养老保险基金的补助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财政对失业保险基金的补助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财政对工伤保险基金的补助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财政对生育保险基金的补助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其他行政事业单位医疗保险基金的补助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财政对城镇职工基本医疗保险基金的补助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财政对其他基本医疗保险保险基金的补助</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4016.73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4016.73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2017年乃东区人社局部门支出总表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2" w:type="dxa"/>
            <w:shd w:val="clear" w:color="auto" w:fill="auto"/>
            <w:vAlign w:val="center"/>
          </w:tcPr>
          <w:p>
            <w:pPr>
              <w:jc w:val="left"/>
              <w:rPr>
                <w:rFonts w:hint="eastAsia" w:ascii="宋体" w:hAnsi="宋体" w:eastAsia="宋体" w:cs="宋体"/>
                <w:i w:val="0"/>
                <w:color w:val="000000"/>
                <w:sz w:val="21"/>
                <w:szCs w:val="21"/>
                <w:u w:val="none"/>
              </w:rPr>
            </w:pPr>
          </w:p>
        </w:tc>
        <w:tc>
          <w:tcPr>
            <w:tcW w:w="2444" w:type="dxa"/>
            <w:shd w:val="clear" w:color="auto" w:fill="auto"/>
            <w:vAlign w:val="center"/>
          </w:tcPr>
          <w:p>
            <w:pPr>
              <w:rPr>
                <w:rFonts w:hint="eastAsia" w:ascii="宋体" w:hAnsi="宋体" w:eastAsia="宋体" w:cs="宋体"/>
                <w:i w:val="0"/>
                <w:color w:val="000000"/>
                <w:sz w:val="22"/>
                <w:szCs w:val="22"/>
                <w:u w:val="none"/>
              </w:rPr>
            </w:pPr>
          </w:p>
        </w:tc>
        <w:tc>
          <w:tcPr>
            <w:tcW w:w="1033" w:type="dxa"/>
            <w:shd w:val="clear" w:color="auto" w:fill="auto"/>
            <w:vAlign w:val="center"/>
          </w:tcPr>
          <w:p>
            <w:pPr>
              <w:rPr>
                <w:rFonts w:hint="eastAsia" w:ascii="宋体" w:hAnsi="宋体" w:eastAsia="宋体" w:cs="宋体"/>
                <w:i w:val="0"/>
                <w:color w:val="000000"/>
                <w:sz w:val="22"/>
                <w:szCs w:val="22"/>
                <w:u w:val="none"/>
              </w:rPr>
            </w:pPr>
          </w:p>
        </w:tc>
        <w:tc>
          <w:tcPr>
            <w:tcW w:w="960" w:type="dxa"/>
            <w:shd w:val="clear" w:color="auto" w:fill="auto"/>
            <w:vAlign w:val="center"/>
          </w:tcPr>
          <w:p>
            <w:pPr>
              <w:rPr>
                <w:rFonts w:hint="eastAsia" w:ascii="宋体" w:hAnsi="宋体" w:eastAsia="宋体" w:cs="宋体"/>
                <w:i w:val="0"/>
                <w:color w:val="000000"/>
                <w:sz w:val="22"/>
                <w:szCs w:val="22"/>
                <w:u w:val="none"/>
              </w:rPr>
            </w:pPr>
          </w:p>
        </w:tc>
        <w:tc>
          <w:tcPr>
            <w:tcW w:w="581" w:type="dxa"/>
            <w:shd w:val="clear" w:color="auto" w:fill="auto"/>
            <w:vAlign w:val="center"/>
          </w:tcPr>
          <w:p>
            <w:pPr>
              <w:rPr>
                <w:rFonts w:hint="eastAsia" w:ascii="宋体" w:hAnsi="宋体" w:eastAsia="宋体" w:cs="宋体"/>
                <w:i w:val="0"/>
                <w:color w:val="000000"/>
                <w:sz w:val="22"/>
                <w:szCs w:val="22"/>
                <w:u w:val="none"/>
              </w:rPr>
            </w:pPr>
          </w:p>
        </w:tc>
        <w:tc>
          <w:tcPr>
            <w:tcW w:w="863" w:type="dxa"/>
            <w:shd w:val="clear" w:color="auto" w:fill="auto"/>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1871.32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1849.72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2080101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287.21</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2080199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其他人力资源和社会保障管理事务支出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2080705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公益性岗位补贴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895.51</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2082602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财政对城乡居民基本养老保险基金的补助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财政对失业保险基金的补助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2082702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财政对工伤保险基金的补助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2080703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财政对生育保险基金的补助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2145.41</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2101199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其他行政事业单位医疗保险基金的补助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126.73</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2101201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财政对城镇职工基本医疗保险基金的补助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1977.18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2101299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财政对其他基本医疗保险保险基金的补助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4,016.73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3,995.13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21.60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社会保障和就业1871.32万元、医疗卫生2145.41万元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3390.98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47.26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对个人和家庭的补助556.89万元，项目支出21.6万元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社会保障和就业1871.32万元，占总比46.6%、医疗卫生2145.41万元</w:t>
      </w:r>
      <w:r>
        <w:rPr>
          <w:rFonts w:hint="eastAsia" w:ascii="仿宋_GB2312" w:hAnsi="仿宋_GB2312" w:eastAsia="仿宋_GB2312" w:cs="仿宋_GB2312"/>
          <w:color w:val="000000" w:themeColor="text1"/>
          <w:sz w:val="32"/>
          <w:szCs w:val="32"/>
          <w14:textFill>
            <w14:solidFill>
              <w14:schemeClr w14:val="tx1"/>
            </w14:solidFill>
          </w14:textFill>
        </w:rPr>
        <w:t>，占总比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53.4</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08社会保障和就业支出1871.32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2080101行政运行287.81万元，2080199其他人力资源和社会保障管理事务支出21万元，2080705公益性岗位补贴895.51万元，2082602财政对城乡居民基本养老保险基金的补助267万元，2082701财政对失业保险基金的补助70万元，20182702财政对工伤保险基金的补助150万元，2080703财政对剩余保险基金的补助180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2、210医疗卫生与计划生育支出2145.41万元；2101199其他行政事业单位医疗保险基金的补助126.73万元，2101201财政对城镇职工基本医疗保险基金的补助1977.18万元，2101299财政对其他基本医疗保险基金的补助41.5万元。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3995.13</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3390.98</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52.86</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137.56</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社会保障缴费3168.06万元，</w:t>
      </w:r>
      <w:r>
        <w:rPr>
          <w:rFonts w:hint="eastAsia" w:ascii="仿宋_GB2312" w:hAnsi="仿宋_GB2312" w:eastAsia="仿宋_GB2312" w:cs="仿宋_GB2312"/>
          <w:color w:val="000000" w:themeColor="text1"/>
          <w:sz w:val="32"/>
          <w:szCs w:val="32"/>
          <w14:textFill>
            <w14:solidFill>
              <w14:schemeClr w14:val="tx1"/>
            </w14:solidFill>
          </w14:textFill>
        </w:rPr>
        <w:t>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0.76</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47.26</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5.55</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2.35</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1.58</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17.58</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0.54</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其他商品和服务支出17.86；对个和家庭的补助556.89万元包括：生活补助556.89万元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2017年三公经费预算合计2.34万元，同比增加1.82万元，上升353.84%。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增加的原因主要一是车辆老化严重，致使车辆的修理费、燃油费增加。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二是需要执行的相关工作增加，下乡次数增多，致使油料费增加。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乃东区人力资源和社会保障局（公务员局）2017年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3995.13</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21.6</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3995.13</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21.6</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4016.73</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社会保障和就业1871.32万元、医疗卫生2145.41万元</w:t>
      </w:r>
      <w:r>
        <w:rPr>
          <w:rFonts w:hint="eastAsia" w:ascii="仿宋_GB2312" w:hAnsi="仿宋_GB2312" w:eastAsia="仿宋_GB2312" w:cs="仿宋_GB2312"/>
          <w:color w:val="000000" w:themeColor="text1"/>
          <w:sz w:val="32"/>
          <w:szCs w:val="32"/>
          <w14:textFill>
            <w14:solidFill>
              <w14:schemeClr w14:val="tx1"/>
            </w14:solidFill>
          </w14:textFill>
        </w:rPr>
        <w:t>。</w:t>
      </w:r>
      <w:bookmarkStart w:id="0" w:name="_GoBack"/>
      <w:bookmarkEnd w:id="0"/>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2017年人社局机关运行经费预算为10.8万元，与2016年15.6万元相比减少4.8万元，减少30.77%。</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0BD24A75"/>
    <w:rsid w:val="11FA5093"/>
    <w:rsid w:val="1E8E3BE4"/>
    <w:rsid w:val="1F0D5063"/>
    <w:rsid w:val="1FCB062D"/>
    <w:rsid w:val="23672AA3"/>
    <w:rsid w:val="25371F1B"/>
    <w:rsid w:val="2F942079"/>
    <w:rsid w:val="354D4C39"/>
    <w:rsid w:val="43E10E38"/>
    <w:rsid w:val="55671262"/>
    <w:rsid w:val="65DC2C48"/>
    <w:rsid w:val="69DF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71"/>
    <w:basedOn w:val="5"/>
    <w:uiPriority w:val="0"/>
    <w:rPr>
      <w:rFonts w:hint="eastAsia" w:ascii="宋体" w:hAnsi="宋体" w:eastAsia="宋体" w:cs="宋体"/>
      <w:color w:val="000000"/>
      <w:sz w:val="21"/>
      <w:szCs w:val="21"/>
      <w:u w:val="none"/>
    </w:rPr>
  </w:style>
  <w:style w:type="character" w:customStyle="1" w:styleId="15">
    <w:name w:val="font61"/>
    <w:basedOn w:val="5"/>
    <w:qFormat/>
    <w:uiPriority w:val="0"/>
    <w:rPr>
      <w:rFonts w:hint="eastAsia" w:ascii="宋体" w:hAnsi="宋体" w:eastAsia="宋体" w:cs="宋体"/>
      <w:b/>
      <w:color w:val="000000"/>
      <w:sz w:val="24"/>
      <w:szCs w:val="24"/>
      <w:u w:val="none"/>
    </w:rPr>
  </w:style>
  <w:style w:type="character" w:customStyle="1" w:styleId="16">
    <w:name w:val="font51"/>
    <w:basedOn w:val="5"/>
    <w:qFormat/>
    <w:uiPriority w:val="0"/>
    <w:rPr>
      <w:rFonts w:hint="eastAsia" w:ascii="宋体" w:hAnsi="宋体" w:eastAsia="宋体" w:cs="宋体"/>
      <w:color w:val="000000"/>
      <w:sz w:val="24"/>
      <w:szCs w:val="24"/>
      <w:u w:val="none"/>
    </w:rPr>
  </w:style>
  <w:style w:type="character" w:customStyle="1" w:styleId="17">
    <w:name w:val="font101"/>
    <w:basedOn w:val="5"/>
    <w:qFormat/>
    <w:uiPriority w:val="0"/>
    <w:rPr>
      <w:rFonts w:hint="eastAsia" w:ascii="宋体" w:hAnsi="宋体" w:eastAsia="宋体" w:cs="宋体"/>
      <w:color w:val="000000"/>
      <w:sz w:val="21"/>
      <w:szCs w:val="21"/>
      <w:u w:val="none"/>
    </w:rPr>
  </w:style>
  <w:style w:type="character" w:customStyle="1" w:styleId="18">
    <w:name w:val="font91"/>
    <w:basedOn w:val="5"/>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18</TotalTime>
  <ScaleCrop>false</ScaleCrop>
  <LinksUpToDate>false</LinksUpToDate>
  <CharactersWithSpaces>4090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2018-12-21T06:41:00Z</cp:lastPrinted>
  <dcterms:modified xsi:type="dcterms:W3CDTF">2018-12-24T02:44:21Z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