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山南市乃东区扶贫开发办公室（农业综合开发办公室）</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山南市乃东区扶贫开发办公室（农业综合开发办公室）2017年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山南市乃东区扶贫开发办公室（农业综合开发办公室）2017年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napToGrid w:val="0"/>
        <w:spacing w:line="576" w:lineRule="exact"/>
        <w:ind w:firstLine="640" w:firstLineChars="200"/>
        <w:textAlignment w:val="baseline"/>
        <w:rPr>
          <w:rFonts w:eastAsia="仿宋_GB2312"/>
          <w:sz w:val="32"/>
          <w:szCs w:val="32"/>
        </w:rPr>
      </w:pPr>
      <w:r>
        <w:rPr>
          <w:rFonts w:eastAsia="仿宋_GB2312"/>
          <w:sz w:val="32"/>
        </w:rPr>
        <w:t>根据《中共山南市委办公室 山南市人民政府办公室关于印发〈乃东区政府职能转变和机构改革方案〉的通知》</w:t>
      </w:r>
      <w:r>
        <w:rPr>
          <w:rFonts w:eastAsia="仿宋_GB2312"/>
          <w:sz w:val="32"/>
          <w:szCs w:val="32"/>
        </w:rPr>
        <w:t>（</w:t>
      </w:r>
      <w:r>
        <w:rPr>
          <w:rFonts w:eastAsia="仿宋_GB2312"/>
          <w:sz w:val="32"/>
        </w:rPr>
        <w:t>山委办〔2016〕74号</w:t>
      </w:r>
      <w:r>
        <w:rPr>
          <w:rFonts w:eastAsia="仿宋_GB2312"/>
          <w:sz w:val="32"/>
          <w:szCs w:val="32"/>
        </w:rPr>
        <w:t>）</w:t>
      </w:r>
      <w:r>
        <w:rPr>
          <w:rFonts w:eastAsia="仿宋_GB2312"/>
          <w:sz w:val="32"/>
        </w:rPr>
        <w:t>精神</w:t>
      </w:r>
      <w:r>
        <w:rPr>
          <w:rFonts w:eastAsia="仿宋_GB2312"/>
          <w:sz w:val="32"/>
          <w:szCs w:val="32"/>
        </w:rPr>
        <w:t>，设立乃东区扶贫开发办公室（农业综合开发办公室）</w:t>
      </w:r>
      <w:r>
        <w:rPr>
          <w:rFonts w:hint="eastAsia" w:eastAsia="仿宋_GB2312"/>
          <w:sz w:val="32"/>
          <w:szCs w:val="32"/>
        </w:rPr>
        <w:t>，</w:t>
      </w:r>
      <w:r>
        <w:rPr>
          <w:rFonts w:eastAsia="仿宋_GB2312"/>
          <w:sz w:val="32"/>
          <w:szCs w:val="32"/>
        </w:rPr>
        <w:t>正科级，为乃东区人民政府直属事业单位，经费来源为全额拨款。</w:t>
      </w:r>
    </w:p>
    <w:p>
      <w:pPr>
        <w:pStyle w:val="10"/>
        <w:autoSpaceDN w:val="0"/>
        <w:spacing w:line="576" w:lineRule="exact"/>
        <w:ind w:firstLine="640"/>
        <w:rPr>
          <w:rFonts w:eastAsia="黑体"/>
          <w:sz w:val="32"/>
          <w:szCs w:val="32"/>
        </w:rPr>
      </w:pPr>
      <w:r>
        <w:rPr>
          <w:rFonts w:eastAsia="黑体"/>
          <w:sz w:val="32"/>
          <w:szCs w:val="32"/>
        </w:rPr>
        <w:t>一、职责调整</w:t>
      </w:r>
    </w:p>
    <w:p>
      <w:pPr>
        <w:spacing w:line="576" w:lineRule="exact"/>
        <w:rPr>
          <w:rFonts w:eastAsia="仿宋_GB2312"/>
          <w:sz w:val="32"/>
          <w:szCs w:val="32"/>
        </w:rPr>
      </w:pPr>
      <w:r>
        <w:rPr>
          <w:rFonts w:eastAsia="仿宋_GB2312"/>
          <w:sz w:val="32"/>
          <w:szCs w:val="32"/>
        </w:rPr>
        <w:t xml:space="preserve">    （一）</w:t>
      </w:r>
      <w:r>
        <w:rPr>
          <w:rFonts w:eastAsia="仿宋_GB2312"/>
          <w:sz w:val="32"/>
        </w:rPr>
        <w:t>取消已由国务院、自治区、市人民政府公布取消的行政审批事项</w:t>
      </w:r>
      <w:r>
        <w:rPr>
          <w:rFonts w:eastAsia="仿宋_GB2312"/>
          <w:sz w:val="32"/>
          <w:szCs w:val="32"/>
        </w:rPr>
        <w:t>。</w:t>
      </w:r>
    </w:p>
    <w:p>
      <w:pPr>
        <w:pStyle w:val="10"/>
        <w:autoSpaceDN w:val="0"/>
        <w:spacing w:line="576" w:lineRule="exact"/>
        <w:ind w:firstLine="640"/>
        <w:rPr>
          <w:rFonts w:eastAsia="仿宋_GB2312"/>
          <w:sz w:val="32"/>
          <w:szCs w:val="32"/>
        </w:rPr>
      </w:pPr>
      <w:r>
        <w:rPr>
          <w:rFonts w:eastAsia="仿宋_GB2312"/>
          <w:sz w:val="32"/>
          <w:szCs w:val="32"/>
        </w:rPr>
        <w:t>（二）加强精准扶贫精准脱贫工作。</w:t>
      </w:r>
    </w:p>
    <w:p>
      <w:pPr>
        <w:pStyle w:val="10"/>
        <w:autoSpaceDN w:val="0"/>
        <w:spacing w:line="576" w:lineRule="exact"/>
        <w:ind w:firstLine="640"/>
        <w:rPr>
          <w:rFonts w:eastAsia="黑体"/>
          <w:sz w:val="32"/>
          <w:szCs w:val="32"/>
        </w:rPr>
      </w:pPr>
      <w:r>
        <w:rPr>
          <w:rFonts w:eastAsia="黑体"/>
          <w:sz w:val="32"/>
          <w:szCs w:val="32"/>
        </w:rPr>
        <w:t>二、主要职责</w:t>
      </w:r>
    </w:p>
    <w:p>
      <w:pPr>
        <w:pStyle w:val="10"/>
        <w:autoSpaceDN w:val="0"/>
        <w:spacing w:line="576" w:lineRule="exact"/>
        <w:ind w:firstLine="640"/>
        <w:rPr>
          <w:rFonts w:eastAsia="仿宋_GB2312"/>
          <w:sz w:val="32"/>
          <w:szCs w:val="32"/>
        </w:rPr>
      </w:pPr>
      <w:r>
        <w:rPr>
          <w:rFonts w:eastAsia="仿宋_GB2312"/>
          <w:sz w:val="32"/>
          <w:szCs w:val="32"/>
        </w:rPr>
        <w:t>（一）贯彻执行党和国家以及自治区、市政府扶贫开发和农业综合开发的方针、政策，研究并提出全区扶贫开发、农业综合开发的政策及意见，协调解决全区扶贫开发、农业综合开发工作中的重大问题。</w:t>
      </w:r>
    </w:p>
    <w:p>
      <w:pPr>
        <w:pStyle w:val="10"/>
        <w:autoSpaceDN w:val="0"/>
        <w:spacing w:line="576" w:lineRule="exact"/>
        <w:ind w:firstLine="640"/>
        <w:rPr>
          <w:rFonts w:eastAsia="仿宋_GB2312"/>
          <w:sz w:val="32"/>
          <w:szCs w:val="32"/>
        </w:rPr>
      </w:pPr>
      <w:r>
        <w:rPr>
          <w:rFonts w:eastAsia="仿宋_GB2312"/>
          <w:sz w:val="32"/>
          <w:szCs w:val="32"/>
        </w:rPr>
        <w:t>（二）拟定全区扶贫开发规划和年度工作计划并协调有关部门组织实施；做好全区精准扶贫精准脱贫工作；负责扶贫开发建设项目的调研、论证、立项、审查、监督管理工作，负责扶贫开发项目资金的审定、分配、管理工作。</w:t>
      </w:r>
    </w:p>
    <w:p>
      <w:pPr>
        <w:pStyle w:val="10"/>
        <w:autoSpaceDN w:val="0"/>
        <w:spacing w:line="576" w:lineRule="exact"/>
        <w:ind w:firstLine="640"/>
        <w:rPr>
          <w:rFonts w:eastAsia="仿宋_GB2312"/>
          <w:sz w:val="32"/>
          <w:szCs w:val="32"/>
        </w:rPr>
      </w:pPr>
      <w:r>
        <w:rPr>
          <w:rFonts w:eastAsia="仿宋_GB2312"/>
          <w:sz w:val="32"/>
          <w:szCs w:val="32"/>
        </w:rPr>
        <w:t>（三）组织协调行政机关、企事业单位、社会组织、社会力量参与扶贫开发工作，会同有关部门开展扶贫开发招商引资和相关交流工作，负责全区扶贫、农发相关培训工作。</w:t>
      </w:r>
    </w:p>
    <w:p>
      <w:pPr>
        <w:pStyle w:val="10"/>
        <w:autoSpaceDN w:val="0"/>
        <w:spacing w:line="576" w:lineRule="exact"/>
        <w:ind w:firstLine="640"/>
        <w:rPr>
          <w:rFonts w:eastAsia="仿宋_GB2312"/>
          <w:sz w:val="32"/>
          <w:szCs w:val="32"/>
        </w:rPr>
      </w:pPr>
      <w:r>
        <w:rPr>
          <w:rFonts w:eastAsia="仿宋_GB2312"/>
          <w:sz w:val="32"/>
          <w:szCs w:val="32"/>
        </w:rPr>
        <w:t>（四）拟定全区农业综合开发中长期规划和年度计划并组织实施，负责农业综合开发项目的调研、论证、立项、审查、监督管理工作，负责农业综合开发资金的审定、分配、管理工作。</w:t>
      </w:r>
    </w:p>
    <w:p>
      <w:pPr>
        <w:pStyle w:val="10"/>
        <w:autoSpaceDN w:val="0"/>
        <w:spacing w:line="576" w:lineRule="exact"/>
        <w:ind w:firstLine="640"/>
        <w:rPr>
          <w:rFonts w:eastAsia="仿宋_GB2312"/>
          <w:strike w:val="0"/>
          <w:dstrike w:val="0"/>
          <w:sz w:val="32"/>
          <w:szCs w:val="32"/>
        </w:rPr>
      </w:pPr>
      <w:r>
        <w:rPr>
          <w:rFonts w:eastAsia="仿宋_GB2312"/>
          <w:strike w:val="0"/>
          <w:dstrike w:val="0"/>
          <w:sz w:val="32"/>
          <w:szCs w:val="32"/>
        </w:rPr>
        <w:t>（五）负责区扶贫开发领导小组的日常工作。</w:t>
      </w:r>
    </w:p>
    <w:p>
      <w:pPr>
        <w:pStyle w:val="10"/>
        <w:autoSpaceDN w:val="0"/>
        <w:spacing w:line="576" w:lineRule="exact"/>
        <w:ind w:firstLine="640"/>
        <w:rPr>
          <w:rFonts w:eastAsia="仿宋_GB2312"/>
          <w:strike w:val="0"/>
          <w:sz w:val="32"/>
          <w:szCs w:val="32"/>
        </w:rPr>
      </w:pPr>
      <w:r>
        <w:rPr>
          <w:rFonts w:eastAsia="仿宋_GB2312"/>
          <w:strike w:val="0"/>
          <w:sz w:val="32"/>
          <w:szCs w:val="32"/>
        </w:rPr>
        <w:t>（六）承办区政府交办的其他事项。</w:t>
      </w:r>
    </w:p>
    <w:p>
      <w:pPr>
        <w:pStyle w:val="10"/>
        <w:autoSpaceDN w:val="0"/>
        <w:spacing w:line="576" w:lineRule="exact"/>
        <w:ind w:firstLine="640"/>
        <w:rPr>
          <w:rFonts w:eastAsia="黑体"/>
          <w:sz w:val="32"/>
          <w:szCs w:val="32"/>
        </w:rPr>
      </w:pPr>
      <w:r>
        <w:rPr>
          <w:rFonts w:eastAsia="黑体"/>
          <w:sz w:val="32"/>
          <w:szCs w:val="32"/>
        </w:rPr>
        <w:t>三、内设机构</w:t>
      </w:r>
    </w:p>
    <w:p>
      <w:pPr>
        <w:pStyle w:val="10"/>
        <w:autoSpaceDN w:val="0"/>
        <w:spacing w:line="576" w:lineRule="exact"/>
        <w:ind w:firstLine="640"/>
        <w:rPr>
          <w:sz w:val="32"/>
          <w:szCs w:val="32"/>
        </w:rPr>
      </w:pPr>
      <w:r>
        <w:rPr>
          <w:rFonts w:eastAsia="仿宋_GB2312"/>
          <w:sz w:val="32"/>
          <w:szCs w:val="32"/>
        </w:rPr>
        <w:t>乃东区扶贫开发办公室（农业综合开发办公室）无内设机构。</w:t>
      </w:r>
    </w:p>
    <w:p>
      <w:pPr>
        <w:pStyle w:val="10"/>
        <w:autoSpaceDN w:val="0"/>
        <w:spacing w:line="576" w:lineRule="exact"/>
        <w:ind w:firstLine="640"/>
        <w:rPr>
          <w:rFonts w:eastAsia="黑体"/>
          <w:sz w:val="32"/>
          <w:szCs w:val="32"/>
        </w:rPr>
      </w:pPr>
      <w:r>
        <w:rPr>
          <w:rFonts w:eastAsia="黑体"/>
          <w:sz w:val="32"/>
          <w:szCs w:val="32"/>
        </w:rPr>
        <w:t>四、人员编制和领导职数</w:t>
      </w:r>
    </w:p>
    <w:p>
      <w:pPr>
        <w:pStyle w:val="10"/>
        <w:autoSpaceDN w:val="0"/>
        <w:spacing w:line="576" w:lineRule="exact"/>
        <w:ind w:firstLine="640"/>
        <w:rPr>
          <w:rFonts w:eastAsia="仿宋_GB2312"/>
          <w:sz w:val="32"/>
          <w:szCs w:val="32"/>
        </w:rPr>
      </w:pPr>
      <w:r>
        <w:rPr>
          <w:rFonts w:eastAsia="仿宋_GB2312"/>
          <w:sz w:val="32"/>
          <w:szCs w:val="32"/>
        </w:rPr>
        <w:t>乃东区扶贫开发办公室（农业综合开发办公室）核定事业编制</w:t>
      </w:r>
      <w:r>
        <w:rPr>
          <w:rFonts w:hint="eastAsia" w:eastAsia="仿宋_GB2312"/>
          <w:sz w:val="32"/>
          <w:szCs w:val="32"/>
        </w:rPr>
        <w:t>总数12</w:t>
      </w:r>
      <w:r>
        <w:rPr>
          <w:rFonts w:eastAsia="仿宋_GB2312"/>
          <w:sz w:val="32"/>
          <w:szCs w:val="32"/>
        </w:rPr>
        <w:t>名。</w:t>
      </w:r>
    </w:p>
    <w:p>
      <w:pPr>
        <w:pStyle w:val="10"/>
        <w:autoSpaceDN w:val="0"/>
        <w:spacing w:line="576" w:lineRule="exact"/>
        <w:ind w:firstLine="640"/>
        <w:rPr>
          <w:rFonts w:eastAsia="仿宋_GB2312"/>
          <w:sz w:val="32"/>
          <w:szCs w:val="32"/>
        </w:rPr>
      </w:pPr>
      <w:r>
        <w:rPr>
          <w:rFonts w:eastAsia="仿宋_GB2312"/>
          <w:sz w:val="32"/>
          <w:szCs w:val="32"/>
        </w:rPr>
        <w:t>领导职数：核定办领导职数</w:t>
      </w:r>
      <w:r>
        <w:rPr>
          <w:rFonts w:hint="eastAsia" w:eastAsia="仿宋_GB2312"/>
          <w:sz w:val="32"/>
          <w:szCs w:val="32"/>
        </w:rPr>
        <w:t>3</w:t>
      </w:r>
      <w:r>
        <w:rPr>
          <w:rFonts w:eastAsia="仿宋_GB2312"/>
          <w:sz w:val="32"/>
          <w:szCs w:val="32"/>
        </w:rPr>
        <w:t>名。</w:t>
      </w:r>
    </w:p>
    <w:p>
      <w:pPr>
        <w:pStyle w:val="10"/>
        <w:autoSpaceDN w:val="0"/>
        <w:spacing w:line="576" w:lineRule="exact"/>
        <w:ind w:firstLine="640"/>
        <w:rPr>
          <w:rFonts w:eastAsia="黑体"/>
          <w:sz w:val="32"/>
          <w:szCs w:val="32"/>
        </w:rPr>
      </w:pPr>
      <w:r>
        <w:rPr>
          <w:rFonts w:eastAsia="黑体"/>
          <w:sz w:val="32"/>
          <w:szCs w:val="32"/>
        </w:rPr>
        <w:t>五、附则</w:t>
      </w:r>
    </w:p>
    <w:p>
      <w:pPr>
        <w:pStyle w:val="10"/>
        <w:autoSpaceDN w:val="0"/>
        <w:spacing w:line="576" w:lineRule="exact"/>
        <w:ind w:firstLine="640"/>
        <w:rPr>
          <w:rFonts w:eastAsia="仿宋_GB2312"/>
          <w:sz w:val="32"/>
          <w:szCs w:val="32"/>
        </w:rPr>
      </w:pPr>
      <w:r>
        <w:rPr>
          <w:rFonts w:eastAsia="仿宋_GB2312"/>
          <w:sz w:val="32"/>
          <w:szCs w:val="32"/>
        </w:rPr>
        <w:t>（一）本规定由区机构编制委员会办公室负责解释，其调整由乃东区机构编制委员会办公室按规定程序办理。</w:t>
      </w:r>
    </w:p>
    <w:p>
      <w:pPr>
        <w:pStyle w:val="10"/>
        <w:autoSpaceDN w:val="0"/>
        <w:spacing w:line="576" w:lineRule="exact"/>
        <w:rPr>
          <w:rFonts w:eastAsia="仿宋_GB2312"/>
          <w:sz w:val="32"/>
          <w:szCs w:val="32"/>
        </w:rPr>
      </w:pPr>
      <w:r>
        <w:rPr>
          <w:rFonts w:eastAsia="仿宋_GB2312"/>
          <w:sz w:val="32"/>
          <w:szCs w:val="32"/>
        </w:rPr>
        <w:t xml:space="preserve">    （二）区机构编制委员会办公室对区扶贫开发办公室（农业综合开发办公室）职责履行情况进行监督检查。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4"/>
        <w:gridCol w:w="1563"/>
        <w:gridCol w:w="1422"/>
        <w:gridCol w:w="1153"/>
        <w:gridCol w:w="122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2017年乃东区扶贫办财政拨款收支总表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127" w:type="dxa"/>
            <w:gridSpan w:val="2"/>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2"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3"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2634"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7"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09" w:type="dxa"/>
            <w:gridSpan w:val="4"/>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459.03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459.03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459.03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1"/>
        <w:gridCol w:w="1991"/>
        <w:gridCol w:w="1364"/>
        <w:gridCol w:w="1365"/>
        <w:gridCol w:w="1363"/>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2017年乃东区扶贫办一般公共预算支出表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1"/>
                <w:lang w:val="en-US" w:eastAsia="zh-CN" w:bidi="ar"/>
              </w:rPr>
              <w:t>7年预算数</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农林水事务</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459.03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132.78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326.25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2130501</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454.03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127.78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326.25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2130599</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其他扶贫支出</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459.03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132.78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326.25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2"/>
                <w:lang w:val="en-US" w:eastAsia="zh-CN" w:bidi="ar"/>
              </w:rPr>
              <w:t>项级</w:t>
            </w:r>
            <w:r>
              <w:rPr>
                <w:rStyle w:val="13"/>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835"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77"/>
        <w:gridCol w:w="2093"/>
        <w:gridCol w:w="1408"/>
        <w:gridCol w:w="1243"/>
        <w:gridCol w:w="1452"/>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8835" w:type="dxa"/>
            <w:gridSpan w:val="6"/>
            <w:shd w:val="clear" w:color="auto" w:fill="auto"/>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2017年乃东区农发办一般公共预算基本支出表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jc w:val="center"/>
        </w:trPr>
        <w:tc>
          <w:tcPr>
            <w:tcW w:w="1377" w:type="dxa"/>
            <w:shd w:val="clear" w:color="auto" w:fill="auto"/>
            <w:vAlign w:val="bottom"/>
          </w:tcPr>
          <w:p>
            <w:pPr>
              <w:jc w:val="both"/>
              <w:rPr>
                <w:rFonts w:hint="eastAsia" w:ascii="宋体" w:hAnsi="宋体" w:eastAsia="宋体" w:cs="宋体"/>
                <w:i w:val="0"/>
                <w:color w:val="000000"/>
                <w:sz w:val="21"/>
                <w:szCs w:val="21"/>
                <w:u w:val="none"/>
              </w:rPr>
            </w:pPr>
          </w:p>
        </w:tc>
        <w:tc>
          <w:tcPr>
            <w:tcW w:w="2093" w:type="dxa"/>
            <w:shd w:val="clear" w:color="auto" w:fill="auto"/>
            <w:vAlign w:val="bottom"/>
          </w:tcPr>
          <w:p>
            <w:pPr>
              <w:jc w:val="both"/>
              <w:rPr>
                <w:rFonts w:hint="eastAsia" w:ascii="宋体" w:hAnsi="宋体" w:eastAsia="宋体" w:cs="宋体"/>
                <w:i w:val="0"/>
                <w:color w:val="000000"/>
                <w:sz w:val="22"/>
                <w:szCs w:val="22"/>
                <w:u w:val="none"/>
              </w:rPr>
            </w:pPr>
          </w:p>
        </w:tc>
        <w:tc>
          <w:tcPr>
            <w:tcW w:w="1408" w:type="dxa"/>
            <w:shd w:val="clear" w:color="auto" w:fill="auto"/>
            <w:vAlign w:val="bottom"/>
          </w:tcPr>
          <w:p>
            <w:pPr>
              <w:jc w:val="both"/>
              <w:rPr>
                <w:rFonts w:hint="eastAsia" w:ascii="宋体" w:hAnsi="宋体" w:eastAsia="宋体" w:cs="宋体"/>
                <w:i w:val="0"/>
                <w:color w:val="000000"/>
                <w:sz w:val="22"/>
                <w:szCs w:val="22"/>
                <w:u w:val="none"/>
              </w:rPr>
            </w:pPr>
          </w:p>
        </w:tc>
        <w:tc>
          <w:tcPr>
            <w:tcW w:w="1243" w:type="dxa"/>
            <w:shd w:val="clear" w:color="auto" w:fill="auto"/>
            <w:vAlign w:val="bottom"/>
          </w:tcPr>
          <w:p>
            <w:pPr>
              <w:jc w:val="both"/>
              <w:rPr>
                <w:rFonts w:hint="eastAsia" w:ascii="宋体" w:hAnsi="宋体" w:eastAsia="宋体" w:cs="宋体"/>
                <w:i w:val="0"/>
                <w:color w:val="000000"/>
                <w:sz w:val="22"/>
                <w:szCs w:val="22"/>
                <w:u w:val="none"/>
              </w:rPr>
            </w:pPr>
          </w:p>
        </w:tc>
        <w:tc>
          <w:tcPr>
            <w:tcW w:w="2714"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3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124.95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124.95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90.86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90.86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7.83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b/>
                <w:i w:val="0"/>
                <w:color w:val="000000"/>
                <w:sz w:val="21"/>
                <w:szCs w:val="21"/>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7.83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3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132.78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124.95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36" w:type="dxa"/>
            <w:gridSpan w:val="6"/>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2017年乃东区扶贫办一般公共预算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388"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auto" w:sz="4" w:space="0"/>
            </w:tcBorders>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83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975"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        2017年乃东区扶贫办政府性基金预算支出表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192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color="auto" w:fill="auto"/>
            <w:vAlign w:val="center"/>
          </w:tcPr>
          <w:p>
            <w:pPr>
              <w:rPr>
                <w:rFonts w:hint="eastAsia" w:ascii="宋体" w:hAnsi="宋体" w:eastAsia="宋体" w:cs="宋体"/>
                <w:i w:val="0"/>
                <w:color w:val="000000"/>
                <w:sz w:val="18"/>
                <w:szCs w:val="18"/>
                <w:u w:val="none"/>
              </w:rPr>
            </w:pPr>
          </w:p>
        </w:tc>
        <w:tc>
          <w:tcPr>
            <w:tcW w:w="1130" w:type="dxa"/>
            <w:shd w:val="clear" w:color="auto" w:fill="auto"/>
            <w:vAlign w:val="center"/>
          </w:tcPr>
          <w:p>
            <w:pPr>
              <w:rPr>
                <w:rFonts w:hint="eastAsia" w:ascii="宋体" w:hAnsi="宋体" w:eastAsia="宋体" w:cs="宋体"/>
                <w:i w:val="0"/>
                <w:color w:val="000000"/>
                <w:sz w:val="18"/>
                <w:szCs w:val="18"/>
                <w:u w:val="none"/>
              </w:rPr>
            </w:pPr>
          </w:p>
        </w:tc>
        <w:tc>
          <w:tcPr>
            <w:tcW w:w="1131" w:type="dxa"/>
            <w:shd w:val="clear" w:color="auto" w:fill="auto"/>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注：乃东区农发办2017年没有使用政府性基金安排的支出，故本表无数据。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34"/>
        <w:gridCol w:w="2394"/>
        <w:gridCol w:w="1762"/>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336" w:type="dxa"/>
            <w:gridSpan w:val="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2017年乃东区扶贫办部门收支总表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shd w:val="clear" w:color="auto" w:fill="auto"/>
            <w:vAlign w:val="center"/>
          </w:tcPr>
          <w:p>
            <w:pPr>
              <w:jc w:val="left"/>
              <w:rPr>
                <w:rFonts w:hint="eastAsia" w:ascii="宋体" w:hAnsi="宋体" w:eastAsia="宋体" w:cs="宋体"/>
                <w:i w:val="0"/>
                <w:color w:val="000000"/>
                <w:sz w:val="21"/>
                <w:szCs w:val="21"/>
                <w:u w:val="none"/>
              </w:rPr>
            </w:pPr>
          </w:p>
        </w:tc>
        <w:tc>
          <w:tcPr>
            <w:tcW w:w="2394" w:type="dxa"/>
            <w:shd w:val="clear" w:color="auto" w:fill="auto"/>
            <w:vAlign w:val="bottom"/>
          </w:tcPr>
          <w:p>
            <w:pPr>
              <w:rPr>
                <w:rFonts w:hint="eastAsia" w:ascii="宋体" w:hAnsi="宋体" w:eastAsia="宋体" w:cs="宋体"/>
                <w:i w:val="0"/>
                <w:color w:val="000000"/>
                <w:sz w:val="18"/>
                <w:szCs w:val="18"/>
                <w:u w:val="none"/>
              </w:rPr>
            </w:pPr>
          </w:p>
        </w:tc>
        <w:tc>
          <w:tcPr>
            <w:tcW w:w="1762" w:type="dxa"/>
            <w:shd w:val="clear" w:color="auto" w:fill="auto"/>
            <w:vAlign w:val="bottom"/>
          </w:tcPr>
          <w:p>
            <w:pPr>
              <w:rPr>
                <w:rFonts w:hint="eastAsia" w:ascii="宋体" w:hAnsi="宋体" w:eastAsia="宋体" w:cs="宋体"/>
                <w:i w:val="0"/>
                <w:color w:val="000000"/>
                <w:sz w:val="18"/>
                <w:szCs w:val="18"/>
                <w:u w:val="none"/>
              </w:rPr>
            </w:pPr>
          </w:p>
        </w:tc>
        <w:tc>
          <w:tcPr>
            <w:tcW w:w="18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(十三)农林水事务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459.03</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935"/>
        <w:gridCol w:w="907"/>
        <w:gridCol w:w="459"/>
        <w:gridCol w:w="1089"/>
        <w:gridCol w:w="617"/>
        <w:gridCol w:w="451"/>
        <w:gridCol w:w="459"/>
        <w:gridCol w:w="412"/>
        <w:gridCol w:w="396"/>
        <w:gridCol w:w="365"/>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12"/>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2017年乃东区扶贫办部门收入总表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35" w:type="dxa"/>
            <w:shd w:val="clear" w:color="auto" w:fill="auto"/>
            <w:vAlign w:val="bottom"/>
          </w:tcPr>
          <w:p>
            <w:pPr>
              <w:rPr>
                <w:rFonts w:hint="eastAsia" w:ascii="宋体" w:hAnsi="宋体" w:eastAsia="宋体" w:cs="宋体"/>
                <w:i w:val="0"/>
                <w:color w:val="000000"/>
                <w:sz w:val="18"/>
                <w:szCs w:val="18"/>
                <w:u w:val="none"/>
              </w:rPr>
            </w:pPr>
          </w:p>
        </w:tc>
        <w:tc>
          <w:tcPr>
            <w:tcW w:w="907" w:type="dxa"/>
            <w:shd w:val="clear" w:color="auto" w:fill="auto"/>
            <w:vAlign w:val="bottom"/>
          </w:tcPr>
          <w:p>
            <w:pPr>
              <w:rPr>
                <w:rFonts w:hint="eastAsia" w:ascii="宋体" w:hAnsi="宋体" w:eastAsia="宋体" w:cs="宋体"/>
                <w:i w:val="0"/>
                <w:color w:val="000000"/>
                <w:sz w:val="18"/>
                <w:szCs w:val="18"/>
                <w:u w:val="none"/>
              </w:rPr>
            </w:pPr>
          </w:p>
        </w:tc>
        <w:tc>
          <w:tcPr>
            <w:tcW w:w="459" w:type="dxa"/>
            <w:shd w:val="clear" w:color="auto" w:fill="auto"/>
            <w:vAlign w:val="bottom"/>
          </w:tcPr>
          <w:p>
            <w:pPr>
              <w:rPr>
                <w:rFonts w:hint="eastAsia" w:ascii="宋体" w:hAnsi="宋体" w:eastAsia="宋体" w:cs="宋体"/>
                <w:i w:val="0"/>
                <w:color w:val="000000"/>
                <w:sz w:val="18"/>
                <w:szCs w:val="18"/>
                <w:u w:val="none"/>
              </w:rPr>
            </w:pPr>
          </w:p>
        </w:tc>
        <w:tc>
          <w:tcPr>
            <w:tcW w:w="1089" w:type="dxa"/>
            <w:shd w:val="clear" w:color="auto" w:fill="auto"/>
            <w:vAlign w:val="bottom"/>
          </w:tcPr>
          <w:p>
            <w:pPr>
              <w:rPr>
                <w:rFonts w:hint="eastAsia" w:ascii="宋体" w:hAnsi="宋体" w:eastAsia="宋体" w:cs="宋体"/>
                <w:i w:val="0"/>
                <w:color w:val="000000"/>
                <w:sz w:val="18"/>
                <w:szCs w:val="18"/>
                <w:u w:val="none"/>
              </w:rPr>
            </w:pPr>
          </w:p>
        </w:tc>
        <w:tc>
          <w:tcPr>
            <w:tcW w:w="617" w:type="dxa"/>
            <w:shd w:val="clear" w:color="auto" w:fill="auto"/>
            <w:vAlign w:val="bottom"/>
          </w:tcPr>
          <w:p>
            <w:pPr>
              <w:rPr>
                <w:rFonts w:hint="eastAsia" w:ascii="宋体" w:hAnsi="宋体" w:eastAsia="宋体" w:cs="宋体"/>
                <w:i w:val="0"/>
                <w:color w:val="000000"/>
                <w:sz w:val="18"/>
                <w:szCs w:val="18"/>
                <w:u w:val="none"/>
              </w:rPr>
            </w:pPr>
          </w:p>
        </w:tc>
        <w:tc>
          <w:tcPr>
            <w:tcW w:w="451" w:type="dxa"/>
            <w:shd w:val="clear" w:color="auto" w:fill="auto"/>
            <w:vAlign w:val="bottom"/>
          </w:tcPr>
          <w:p>
            <w:pPr>
              <w:rPr>
                <w:rFonts w:hint="eastAsia" w:ascii="宋体" w:hAnsi="宋体" w:eastAsia="宋体" w:cs="宋体"/>
                <w:i w:val="0"/>
                <w:color w:val="000000"/>
                <w:sz w:val="18"/>
                <w:szCs w:val="18"/>
                <w:u w:val="none"/>
              </w:rPr>
            </w:pPr>
          </w:p>
        </w:tc>
        <w:tc>
          <w:tcPr>
            <w:tcW w:w="459" w:type="dxa"/>
            <w:shd w:val="clear" w:color="auto" w:fill="auto"/>
            <w:vAlign w:val="bottom"/>
          </w:tcPr>
          <w:p>
            <w:pPr>
              <w:rPr>
                <w:rFonts w:hint="eastAsia" w:ascii="宋体" w:hAnsi="宋体" w:eastAsia="宋体" w:cs="宋体"/>
                <w:i w:val="0"/>
                <w:color w:val="000000"/>
                <w:sz w:val="18"/>
                <w:szCs w:val="18"/>
                <w:u w:val="none"/>
              </w:rPr>
            </w:pPr>
          </w:p>
        </w:tc>
        <w:tc>
          <w:tcPr>
            <w:tcW w:w="412" w:type="dxa"/>
            <w:shd w:val="clear" w:color="auto" w:fill="auto"/>
            <w:vAlign w:val="bottom"/>
          </w:tcPr>
          <w:p>
            <w:pPr>
              <w:rPr>
                <w:rFonts w:hint="eastAsia" w:ascii="宋体" w:hAnsi="宋体" w:eastAsia="宋体" w:cs="宋体"/>
                <w:i w:val="0"/>
                <w:color w:val="000000"/>
                <w:sz w:val="18"/>
                <w:szCs w:val="18"/>
                <w:u w:val="none"/>
              </w:rPr>
            </w:pPr>
          </w:p>
        </w:tc>
        <w:tc>
          <w:tcPr>
            <w:tcW w:w="396" w:type="dxa"/>
            <w:shd w:val="clear" w:color="auto" w:fill="auto"/>
            <w:vAlign w:val="bottom"/>
          </w:tcPr>
          <w:p>
            <w:pPr>
              <w:rPr>
                <w:rFonts w:hint="eastAsia" w:ascii="宋体" w:hAnsi="宋体" w:eastAsia="宋体" w:cs="宋体"/>
                <w:i w:val="0"/>
                <w:color w:val="000000"/>
                <w:sz w:val="18"/>
                <w:szCs w:val="18"/>
                <w:u w:val="none"/>
              </w:rPr>
            </w:pPr>
          </w:p>
        </w:tc>
        <w:tc>
          <w:tcPr>
            <w:tcW w:w="846"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9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农林水事务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459.03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459.03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2130501</w:t>
            </w:r>
          </w:p>
        </w:tc>
        <w:tc>
          <w:tcPr>
            <w:tcW w:w="19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454.03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454.03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2130599</w:t>
            </w:r>
          </w:p>
        </w:tc>
        <w:tc>
          <w:tcPr>
            <w:tcW w:w="19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其他扶贫支出</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459.03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459.03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9"/>
        <w:gridCol w:w="2362"/>
        <w:gridCol w:w="1022"/>
        <w:gridCol w:w="952"/>
        <w:gridCol w:w="750"/>
        <w:gridCol w:w="840"/>
        <w:gridCol w:w="740"/>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833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2017年乃东区农发办部门支出总表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29" w:type="dxa"/>
            <w:shd w:val="clear" w:color="auto" w:fill="auto"/>
            <w:vAlign w:val="center"/>
          </w:tcPr>
          <w:p>
            <w:pPr>
              <w:jc w:val="left"/>
              <w:rPr>
                <w:rFonts w:hint="eastAsia" w:ascii="宋体" w:hAnsi="宋体" w:eastAsia="宋体" w:cs="宋体"/>
                <w:i w:val="0"/>
                <w:color w:val="000000"/>
                <w:sz w:val="21"/>
                <w:szCs w:val="21"/>
                <w:u w:val="none"/>
              </w:rPr>
            </w:pPr>
          </w:p>
        </w:tc>
        <w:tc>
          <w:tcPr>
            <w:tcW w:w="2362" w:type="dxa"/>
            <w:shd w:val="clear" w:color="auto" w:fill="auto"/>
            <w:vAlign w:val="center"/>
          </w:tcPr>
          <w:p>
            <w:pPr>
              <w:rPr>
                <w:rFonts w:hint="eastAsia" w:ascii="宋体" w:hAnsi="宋体" w:eastAsia="宋体" w:cs="宋体"/>
                <w:i w:val="0"/>
                <w:color w:val="000000"/>
                <w:sz w:val="22"/>
                <w:szCs w:val="22"/>
                <w:u w:val="none"/>
              </w:rPr>
            </w:pPr>
          </w:p>
        </w:tc>
        <w:tc>
          <w:tcPr>
            <w:tcW w:w="1022" w:type="dxa"/>
            <w:shd w:val="clear" w:color="auto" w:fill="auto"/>
            <w:vAlign w:val="center"/>
          </w:tcPr>
          <w:p>
            <w:pPr>
              <w:rPr>
                <w:rFonts w:hint="eastAsia" w:ascii="宋体" w:hAnsi="宋体" w:eastAsia="宋体" w:cs="宋体"/>
                <w:i w:val="0"/>
                <w:color w:val="000000"/>
                <w:sz w:val="22"/>
                <w:szCs w:val="22"/>
                <w:u w:val="none"/>
              </w:rPr>
            </w:pPr>
          </w:p>
        </w:tc>
        <w:tc>
          <w:tcPr>
            <w:tcW w:w="952" w:type="dxa"/>
            <w:shd w:val="clear" w:color="auto" w:fill="auto"/>
            <w:vAlign w:val="center"/>
          </w:tcPr>
          <w:p>
            <w:pPr>
              <w:rPr>
                <w:rFonts w:hint="eastAsia" w:ascii="宋体" w:hAnsi="宋体" w:eastAsia="宋体" w:cs="宋体"/>
                <w:i w:val="0"/>
                <w:color w:val="000000"/>
                <w:sz w:val="22"/>
                <w:szCs w:val="22"/>
                <w:u w:val="none"/>
              </w:rPr>
            </w:pPr>
          </w:p>
        </w:tc>
        <w:tc>
          <w:tcPr>
            <w:tcW w:w="750" w:type="dxa"/>
            <w:shd w:val="clear" w:color="auto" w:fill="auto"/>
            <w:vAlign w:val="center"/>
          </w:tcPr>
          <w:p>
            <w:pPr>
              <w:rPr>
                <w:rFonts w:hint="eastAsia" w:ascii="宋体" w:hAnsi="宋体" w:eastAsia="宋体" w:cs="宋体"/>
                <w:i w:val="0"/>
                <w:color w:val="000000"/>
                <w:sz w:val="22"/>
                <w:szCs w:val="22"/>
                <w:u w:val="none"/>
              </w:rPr>
            </w:pPr>
          </w:p>
        </w:tc>
        <w:tc>
          <w:tcPr>
            <w:tcW w:w="840" w:type="dxa"/>
            <w:shd w:val="clear" w:color="auto" w:fill="auto"/>
            <w:vAlign w:val="center"/>
          </w:tcPr>
          <w:p>
            <w:pPr>
              <w:rPr>
                <w:rFonts w:hint="eastAsia" w:ascii="宋体" w:hAnsi="宋体" w:eastAsia="宋体" w:cs="宋体"/>
                <w:i w:val="0"/>
                <w:color w:val="000000"/>
                <w:sz w:val="22"/>
                <w:szCs w:val="22"/>
                <w:u w:val="none"/>
              </w:rPr>
            </w:pPr>
          </w:p>
        </w:tc>
        <w:tc>
          <w:tcPr>
            <w:tcW w:w="1581"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3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3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农林水事务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2130501</w:t>
            </w:r>
          </w:p>
        </w:tc>
        <w:tc>
          <w:tcPr>
            <w:tcW w:w="23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2130599</w:t>
            </w:r>
          </w:p>
        </w:tc>
        <w:tc>
          <w:tcPr>
            <w:tcW w:w="23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其他扶贫支出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3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459.03 </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132.78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326.25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山南市乃东区扶贫开发办公室（农业综合开发办公室）2017年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山南市乃东区扶贫开发办公室（农业综合开发办公室）2017年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农林水事务459.03万元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124.95</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项目支出326.25万元、其他扶贫支出5万元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农林水事务459.03</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3农林水支出459.03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2130501行政运行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454.03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2130599其他扶贫支出5万元。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132.78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124.95</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23.25</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90.86</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10.24</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7.83</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2.52</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0.66</w:t>
      </w:r>
      <w:r>
        <w:rPr>
          <w:rFonts w:hint="eastAsia" w:ascii="仿宋_GB2312" w:hAnsi="仿宋_GB2312" w:eastAsia="仿宋_GB2312" w:cs="仿宋_GB2312"/>
          <w:color w:val="000000" w:themeColor="text1"/>
          <w:sz w:val="32"/>
          <w:szCs w:val="32"/>
          <w14:textFill>
            <w14:solidFill>
              <w14:schemeClr w14:val="tx1"/>
            </w14:solidFill>
          </w14:textFill>
        </w:rPr>
        <w:t xml:space="preserve">万元，水费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14:textFill>
            <w14:solidFill>
              <w14:schemeClr w14:val="tx1"/>
            </w14:solidFill>
          </w14:textFill>
        </w:rPr>
        <w:t xml:space="preserve"> 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0.25</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2017年三公经费预算合计0.85万元，同比增加0.85万元，上升100%。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增加的原因主要一是车辆老化严重，致使车辆的修理费、燃油费增加。二是需要执行的相关工作增加，下乡次数增多，致使油料费增加。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山南市乃东区扶贫开发办公室（农业综合开发办公室）2017年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132.78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326.25</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132.78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326.25</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459.03</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农林水事务支出459.03万元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2017年农发办机关运行经费预算为5.04万元，与2016年9.6万元相比减少4.56万元，减少47.5%。</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2018-12-16T10:04:00Z</cp:lastPrinted>
  <dcterms:modified xsi:type="dcterms:W3CDTF">2018-12-19T03:19:07Z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