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乃东区区委办</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乃东区区委办2017年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乃东区区委办2017年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eastAsia="仿宋_GB2312"/>
          <w:color w:val="000000"/>
          <w:sz w:val="32"/>
          <w:szCs w:val="32"/>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区委办公室是区委的综合办事机构。正科级建制。其</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主要职责是：</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1、具体负责全县贯彻落实中央、区党委、地委方针、</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政策、指示的情况了解与分析工作；负责区委重大决策部</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署和重要会议精神传输、发布和协调贯彻工作；负责区委</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与地委、行署有关部门及对口援助地（市）的联系工作；</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保证区委日常工作的运转；承担区委及领导同志的后勤服</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务和事务管理工作；协调县人大、政府、政协办公部门的</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工作；开展调查研究，为区委决策提供参考依据。</w:t>
      </w:r>
    </w:p>
    <w:p>
      <w:pPr>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2、负责区委的文电、机要、档案工作。 </w:t>
      </w:r>
    </w:p>
    <w:p>
      <w:pPr>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3、收集、处理全县的重要信息。承担向地委和区委报</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送信息工作，为各乡（镇）和各部门提供信息服务。</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4、督促检查中央、区党委和地委重要会议、文件、指示和重要工作部署的贯彻落实情况，办理地委和区委领导 同志的批示；办理县人大、政府、政协转交的与区委系统有关的意见、建议和提案。</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5、负责驻县党政军机关及要害部门核心秘密文件和物件的安全传递工作。</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6、承办区委会议的会务工作和后勤工作，负责区委及</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区委办公室的接待工作。</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7、负责全县保密工作，组织实施《保密法》等法规，</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开展保密宣传教育，督促检杏全县党政机关、企事业单位</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保密工作，查处失、泄密案件，承担县保密委员会办公室的工作。 </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8、负责全县党委系统及区委信息网络的传输、利用和</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管理、指导。 </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9、负责制定全县党史、地方志工作规划和全县党史、</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地方志资料的征集及管理，组织志书编纂、审查验收、出</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版、发行事宜，指导协调管理全县党史、地方志工作。</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10、承办区委及领导交办的其他事项。</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1I、承担区委政策研究和区委农村工作。</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12、管理县直属机关党委。</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区委办公室不设内设机构，行政编制9名。区委书</w:t>
      </w:r>
    </w:p>
    <w:p>
      <w:pPr>
        <w:spacing w:line="576" w:lineRule="exact"/>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记、副书记4名；办公室领导职数3名。</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3"/>
        <w:gridCol w:w="1562"/>
        <w:gridCol w:w="1491"/>
        <w:gridCol w:w="1188"/>
        <w:gridCol w:w="1214"/>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2017年乃东区区委办财政拨款收支总表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125" w:type="dxa"/>
            <w:gridSpan w:val="2"/>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91"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8"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2532"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5"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1" w:type="dxa"/>
            <w:gridSpan w:val="4"/>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316.78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316.78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316.78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4"/>
        <w:gridCol w:w="1862"/>
        <w:gridCol w:w="1267"/>
        <w:gridCol w:w="1267"/>
        <w:gridCol w:w="1266"/>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2017年乃东区区委办一般公共预算支出表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6" w:hRule="atLeast"/>
        </w:trPr>
        <w:tc>
          <w:tcPr>
            <w:tcW w:w="8336" w:type="dxa"/>
            <w:gridSpan w:val="6"/>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316.78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316.78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2013199</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其他党委办公厅（室）及相关机构事务支出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316.78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316.78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835"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1"/>
        <w:gridCol w:w="2041"/>
        <w:gridCol w:w="1370"/>
        <w:gridCol w:w="1209"/>
        <w:gridCol w:w="1415"/>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8835" w:type="dxa"/>
            <w:gridSpan w:val="6"/>
            <w:shd w:val="clear" w:color="auto" w:fill="auto"/>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2017年乃东区区委办一般公共预算基本支出表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41" w:type="dxa"/>
            <w:shd w:val="clear" w:color="auto" w:fill="auto"/>
            <w:vAlign w:val="bottom"/>
          </w:tcPr>
          <w:p>
            <w:pPr>
              <w:jc w:val="both"/>
              <w:rPr>
                <w:rFonts w:hint="eastAsia" w:ascii="宋体" w:hAnsi="宋体" w:eastAsia="宋体" w:cs="宋体"/>
                <w:i w:val="0"/>
                <w:color w:val="000000"/>
                <w:sz w:val="21"/>
                <w:szCs w:val="21"/>
                <w:u w:val="none"/>
              </w:rPr>
            </w:pPr>
          </w:p>
        </w:tc>
        <w:tc>
          <w:tcPr>
            <w:tcW w:w="2041" w:type="dxa"/>
            <w:shd w:val="clear" w:color="auto" w:fill="auto"/>
            <w:vAlign w:val="bottom"/>
          </w:tcPr>
          <w:p>
            <w:pPr>
              <w:jc w:val="both"/>
              <w:rPr>
                <w:rFonts w:hint="eastAsia" w:ascii="宋体" w:hAnsi="宋体" w:eastAsia="宋体" w:cs="宋体"/>
                <w:i w:val="0"/>
                <w:color w:val="000000"/>
                <w:sz w:val="22"/>
                <w:szCs w:val="22"/>
                <w:u w:val="none"/>
              </w:rPr>
            </w:pPr>
          </w:p>
        </w:tc>
        <w:tc>
          <w:tcPr>
            <w:tcW w:w="1370" w:type="dxa"/>
            <w:shd w:val="clear" w:color="auto" w:fill="auto"/>
            <w:vAlign w:val="bottom"/>
          </w:tcPr>
          <w:p>
            <w:pPr>
              <w:jc w:val="both"/>
              <w:rPr>
                <w:rFonts w:hint="eastAsia" w:ascii="宋体" w:hAnsi="宋体" w:eastAsia="宋体" w:cs="宋体"/>
                <w:i w:val="0"/>
                <w:color w:val="000000"/>
                <w:sz w:val="22"/>
                <w:szCs w:val="22"/>
                <w:u w:val="none"/>
              </w:rPr>
            </w:pPr>
          </w:p>
        </w:tc>
        <w:tc>
          <w:tcPr>
            <w:tcW w:w="1209" w:type="dxa"/>
            <w:shd w:val="clear" w:color="auto" w:fill="auto"/>
            <w:vAlign w:val="bottom"/>
          </w:tcPr>
          <w:p>
            <w:pPr>
              <w:jc w:val="both"/>
              <w:rPr>
                <w:rFonts w:hint="eastAsia" w:ascii="宋体" w:hAnsi="宋体" w:eastAsia="宋体" w:cs="宋体"/>
                <w:i w:val="0"/>
                <w:color w:val="000000"/>
                <w:sz w:val="22"/>
                <w:szCs w:val="22"/>
                <w:u w:val="none"/>
              </w:rPr>
            </w:pPr>
          </w:p>
        </w:tc>
        <w:tc>
          <w:tcPr>
            <w:tcW w:w="2874"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3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299.87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299.87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60.68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60.68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197.85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197.85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16.91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b/>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13.71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6.94</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其他商品和服务支出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9"/>
        <w:gridCol w:w="1389"/>
        <w:gridCol w:w="1389"/>
        <w:gridCol w:w="1389"/>
        <w:gridCol w:w="1390"/>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665"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2017年乃东区区委办一般公共预算“三公”经费支出表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389"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719" w:type="dxa"/>
            <w:tcBorders>
              <w:bottom w:val="single" w:color="auto" w:sz="4" w:space="0"/>
            </w:tcBorders>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86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9"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719"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1"/>
        <w:gridCol w:w="1295"/>
        <w:gridCol w:w="1030"/>
        <w:gridCol w:w="1031"/>
        <w:gridCol w:w="1031"/>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 xml:space="preserve">        2017年乃东区区委办政府性基金预算支出表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220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295" w:type="dxa"/>
            <w:shd w:val="clear" w:color="auto" w:fill="auto"/>
            <w:vAlign w:val="center"/>
          </w:tcPr>
          <w:p>
            <w:pPr>
              <w:rPr>
                <w:rFonts w:hint="eastAsia" w:ascii="宋体" w:hAnsi="宋体" w:eastAsia="宋体" w:cs="宋体"/>
                <w:i w:val="0"/>
                <w:color w:val="000000"/>
                <w:sz w:val="18"/>
                <w:szCs w:val="18"/>
                <w:u w:val="none"/>
              </w:rPr>
            </w:pPr>
          </w:p>
        </w:tc>
        <w:tc>
          <w:tcPr>
            <w:tcW w:w="1030" w:type="dxa"/>
            <w:shd w:val="clear" w:color="auto" w:fill="auto"/>
            <w:vAlign w:val="center"/>
          </w:tcPr>
          <w:p>
            <w:pPr>
              <w:rPr>
                <w:rFonts w:hint="eastAsia" w:ascii="宋体" w:hAnsi="宋体" w:eastAsia="宋体" w:cs="宋体"/>
                <w:i w:val="0"/>
                <w:color w:val="000000"/>
                <w:sz w:val="18"/>
                <w:szCs w:val="18"/>
                <w:u w:val="none"/>
              </w:rPr>
            </w:pPr>
          </w:p>
        </w:tc>
        <w:tc>
          <w:tcPr>
            <w:tcW w:w="1031" w:type="dxa"/>
            <w:shd w:val="clear" w:color="auto" w:fill="auto"/>
            <w:vAlign w:val="center"/>
          </w:tcPr>
          <w:p>
            <w:pPr>
              <w:rPr>
                <w:rFonts w:hint="eastAsia" w:ascii="宋体" w:hAnsi="宋体" w:eastAsia="宋体" w:cs="宋体"/>
                <w:i w:val="0"/>
                <w:color w:val="000000"/>
                <w:sz w:val="18"/>
                <w:szCs w:val="18"/>
                <w:u w:val="none"/>
              </w:rPr>
            </w:pPr>
          </w:p>
        </w:tc>
        <w:tc>
          <w:tcPr>
            <w:tcW w:w="2779"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注：乃东区区委办2017年没有使用政府性基金安排的支出，故本表无数据。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96"/>
        <w:gridCol w:w="673"/>
        <w:gridCol w:w="1186"/>
        <w:gridCol w:w="3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336" w:type="dxa"/>
            <w:gridSpan w:val="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2017年乃东区区委办部门收支总表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shd w:val="clear" w:color="auto" w:fill="auto"/>
            <w:vAlign w:val="center"/>
          </w:tcPr>
          <w:p>
            <w:pPr>
              <w:jc w:val="left"/>
              <w:rPr>
                <w:rFonts w:hint="eastAsia" w:ascii="宋体" w:hAnsi="宋体" w:eastAsia="宋体" w:cs="宋体"/>
                <w:i w:val="0"/>
                <w:color w:val="000000"/>
                <w:sz w:val="21"/>
                <w:szCs w:val="21"/>
                <w:u w:val="none"/>
              </w:rPr>
            </w:pPr>
          </w:p>
        </w:tc>
        <w:tc>
          <w:tcPr>
            <w:tcW w:w="673" w:type="dxa"/>
            <w:shd w:val="clear" w:color="auto" w:fill="auto"/>
            <w:vAlign w:val="bottom"/>
          </w:tcPr>
          <w:p>
            <w:pPr>
              <w:rPr>
                <w:rFonts w:hint="eastAsia" w:ascii="宋体" w:hAnsi="宋体" w:eastAsia="宋体" w:cs="宋体"/>
                <w:i w:val="0"/>
                <w:color w:val="000000"/>
                <w:sz w:val="18"/>
                <w:szCs w:val="18"/>
                <w:u w:val="none"/>
              </w:rPr>
            </w:pPr>
          </w:p>
        </w:tc>
        <w:tc>
          <w:tcPr>
            <w:tcW w:w="1186" w:type="dxa"/>
            <w:shd w:val="clear" w:color="auto" w:fill="auto"/>
            <w:vAlign w:val="bottom"/>
          </w:tcPr>
          <w:p>
            <w:pPr>
              <w:rPr>
                <w:rFonts w:hint="eastAsia" w:ascii="宋体" w:hAnsi="宋体" w:eastAsia="宋体" w:cs="宋体"/>
                <w:i w:val="0"/>
                <w:color w:val="000000"/>
                <w:sz w:val="18"/>
                <w:szCs w:val="18"/>
                <w:u w:val="none"/>
              </w:rPr>
            </w:pPr>
          </w:p>
        </w:tc>
        <w:tc>
          <w:tcPr>
            <w:tcW w:w="33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4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316.78</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2"/>
        <w:gridCol w:w="3"/>
        <w:gridCol w:w="1200"/>
        <w:gridCol w:w="535"/>
        <w:gridCol w:w="431"/>
        <w:gridCol w:w="495"/>
        <w:gridCol w:w="376"/>
        <w:gridCol w:w="426"/>
        <w:gridCol w:w="525"/>
        <w:gridCol w:w="375"/>
        <w:gridCol w:w="411"/>
        <w:gridCol w:w="439"/>
        <w:gridCol w:w="2758"/>
        <w:gridCol w:w="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952" w:type="dxa"/>
            <w:gridSpan w:val="1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2017年乃东区区委办部门收入总表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203" w:type="dxa"/>
            <w:gridSpan w:val="2"/>
            <w:shd w:val="clear" w:color="auto" w:fill="auto"/>
            <w:vAlign w:val="bottom"/>
          </w:tcPr>
          <w:p>
            <w:pPr>
              <w:rPr>
                <w:rFonts w:hint="eastAsia" w:ascii="宋体" w:hAnsi="宋体" w:eastAsia="宋体" w:cs="宋体"/>
                <w:i w:val="0"/>
                <w:color w:val="000000"/>
                <w:sz w:val="18"/>
                <w:szCs w:val="18"/>
                <w:u w:val="none"/>
              </w:rPr>
            </w:pPr>
          </w:p>
        </w:tc>
        <w:tc>
          <w:tcPr>
            <w:tcW w:w="535" w:type="dxa"/>
            <w:shd w:val="clear" w:color="auto" w:fill="auto"/>
            <w:vAlign w:val="bottom"/>
          </w:tcPr>
          <w:p/>
        </w:tc>
        <w:tc>
          <w:tcPr>
            <w:tcW w:w="431" w:type="dxa"/>
            <w:shd w:val="clear" w:color="auto" w:fill="auto"/>
            <w:vAlign w:val="bottom"/>
          </w:tcPr>
          <w:p/>
        </w:tc>
        <w:tc>
          <w:tcPr>
            <w:tcW w:w="495" w:type="dxa"/>
            <w:shd w:val="clear" w:color="auto" w:fill="auto"/>
            <w:vAlign w:val="bottom"/>
          </w:tcPr>
          <w:p>
            <w:pPr>
              <w:rPr>
                <w:rFonts w:hint="eastAsia" w:ascii="宋体" w:hAnsi="宋体" w:eastAsia="宋体" w:cs="宋体"/>
                <w:i w:val="0"/>
                <w:color w:val="000000"/>
                <w:sz w:val="18"/>
                <w:szCs w:val="18"/>
                <w:u w:val="none"/>
              </w:rPr>
            </w:pPr>
          </w:p>
        </w:tc>
        <w:tc>
          <w:tcPr>
            <w:tcW w:w="376" w:type="dxa"/>
            <w:shd w:val="clear" w:color="auto" w:fill="auto"/>
            <w:vAlign w:val="bottom"/>
          </w:tcPr>
          <w:p/>
        </w:tc>
        <w:tc>
          <w:tcPr>
            <w:tcW w:w="426" w:type="dxa"/>
            <w:shd w:val="clear" w:color="auto" w:fill="auto"/>
            <w:vAlign w:val="bottom"/>
          </w:tcPr>
          <w:p/>
        </w:tc>
        <w:tc>
          <w:tcPr>
            <w:tcW w:w="525" w:type="dxa"/>
            <w:shd w:val="clear" w:color="auto" w:fill="auto"/>
            <w:vAlign w:val="bottom"/>
          </w:tcPr>
          <w:p>
            <w:pPr>
              <w:rPr>
                <w:rFonts w:hint="eastAsia" w:ascii="宋体" w:hAnsi="宋体" w:eastAsia="宋体" w:cs="宋体"/>
                <w:i w:val="0"/>
                <w:color w:val="000000"/>
                <w:sz w:val="18"/>
                <w:szCs w:val="18"/>
                <w:u w:val="none"/>
              </w:rPr>
            </w:pPr>
          </w:p>
        </w:tc>
        <w:tc>
          <w:tcPr>
            <w:tcW w:w="375" w:type="dxa"/>
            <w:shd w:val="clear" w:color="auto" w:fill="auto"/>
            <w:vAlign w:val="bottom"/>
          </w:tcPr>
          <w:p/>
        </w:tc>
        <w:tc>
          <w:tcPr>
            <w:tcW w:w="411" w:type="dxa"/>
            <w:shd w:val="clear" w:color="auto" w:fill="auto"/>
            <w:vAlign w:val="bottom"/>
          </w:tcPr>
          <w:p>
            <w:pPr>
              <w:rPr>
                <w:rFonts w:hint="eastAsia" w:ascii="宋体" w:hAnsi="宋体" w:eastAsia="宋体" w:cs="宋体"/>
                <w:i w:val="0"/>
                <w:color w:val="000000"/>
                <w:sz w:val="18"/>
                <w:szCs w:val="18"/>
                <w:u w:val="none"/>
              </w:rPr>
            </w:pPr>
          </w:p>
        </w:tc>
        <w:tc>
          <w:tcPr>
            <w:tcW w:w="362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1020" w:hRule="atLeast"/>
        </w:trPr>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合计</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上年结转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政府性基金预算拨款收入</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事业收入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上级补助收入</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其他收入</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2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5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316.78</w:t>
            </w:r>
          </w:p>
        </w:tc>
        <w:tc>
          <w:tcPr>
            <w:tcW w:w="4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316.78</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2013101</w:t>
            </w:r>
          </w:p>
        </w:tc>
        <w:tc>
          <w:tcPr>
            <w:tcW w:w="12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5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311.78</w:t>
            </w:r>
          </w:p>
        </w:tc>
        <w:tc>
          <w:tcPr>
            <w:tcW w:w="4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311.78</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2013199</w:t>
            </w:r>
          </w:p>
        </w:tc>
        <w:tc>
          <w:tcPr>
            <w:tcW w:w="12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其他党委办公厅（室）及相关机构事务支出</w:t>
            </w:r>
          </w:p>
        </w:tc>
        <w:tc>
          <w:tcPr>
            <w:tcW w:w="5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5</w:t>
            </w:r>
          </w:p>
        </w:tc>
        <w:tc>
          <w:tcPr>
            <w:tcW w:w="4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b/>
                <w:i w:val="0"/>
                <w:color w:val="000000"/>
                <w:kern w:val="0"/>
                <w:sz w:val="24"/>
                <w:szCs w:val="24"/>
                <w:u w:val="none"/>
                <w:lang w:val="en-US" w:eastAsia="zh-CN" w:bidi="ar"/>
              </w:rPr>
              <w:t>316.78</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316.78</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1"/>
        <w:gridCol w:w="2444"/>
        <w:gridCol w:w="1033"/>
        <w:gridCol w:w="960"/>
        <w:gridCol w:w="580"/>
        <w:gridCol w:w="864"/>
        <w:gridCol w:w="759"/>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5" w:hRule="atLeast"/>
        </w:trPr>
        <w:tc>
          <w:tcPr>
            <w:tcW w:w="833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2017年乃东区区委办部门支出总表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1" w:type="dxa"/>
            <w:shd w:val="clear" w:color="auto" w:fill="auto"/>
            <w:vAlign w:val="center"/>
          </w:tcPr>
          <w:p>
            <w:pPr>
              <w:jc w:val="left"/>
              <w:rPr>
                <w:rFonts w:hint="eastAsia" w:ascii="宋体" w:hAnsi="宋体" w:eastAsia="宋体" w:cs="宋体"/>
                <w:i w:val="0"/>
                <w:color w:val="000000"/>
                <w:sz w:val="21"/>
                <w:szCs w:val="21"/>
                <w:u w:val="none"/>
              </w:rPr>
            </w:pPr>
          </w:p>
        </w:tc>
        <w:tc>
          <w:tcPr>
            <w:tcW w:w="2444" w:type="dxa"/>
            <w:shd w:val="clear" w:color="auto" w:fill="auto"/>
            <w:vAlign w:val="center"/>
          </w:tcPr>
          <w:p>
            <w:pPr>
              <w:rPr>
                <w:rFonts w:hint="eastAsia" w:ascii="宋体" w:hAnsi="宋体" w:eastAsia="宋体" w:cs="宋体"/>
                <w:i w:val="0"/>
                <w:color w:val="000000"/>
                <w:sz w:val="22"/>
                <w:szCs w:val="22"/>
                <w:u w:val="none"/>
              </w:rPr>
            </w:pPr>
          </w:p>
        </w:tc>
        <w:tc>
          <w:tcPr>
            <w:tcW w:w="1033" w:type="dxa"/>
            <w:shd w:val="clear" w:color="auto" w:fill="auto"/>
            <w:vAlign w:val="center"/>
          </w:tcPr>
          <w:p>
            <w:pPr>
              <w:rPr>
                <w:rFonts w:hint="eastAsia" w:ascii="宋体" w:hAnsi="宋体" w:eastAsia="宋体" w:cs="宋体"/>
                <w:i w:val="0"/>
                <w:color w:val="000000"/>
                <w:sz w:val="22"/>
                <w:szCs w:val="22"/>
                <w:u w:val="none"/>
              </w:rPr>
            </w:pPr>
          </w:p>
        </w:tc>
        <w:tc>
          <w:tcPr>
            <w:tcW w:w="960" w:type="dxa"/>
            <w:shd w:val="clear" w:color="auto" w:fill="auto"/>
            <w:vAlign w:val="center"/>
          </w:tcPr>
          <w:p>
            <w:pPr>
              <w:rPr>
                <w:rFonts w:hint="eastAsia" w:ascii="宋体" w:hAnsi="宋体" w:eastAsia="宋体" w:cs="宋体"/>
                <w:i w:val="0"/>
                <w:color w:val="000000"/>
                <w:sz w:val="22"/>
                <w:szCs w:val="22"/>
                <w:u w:val="none"/>
              </w:rPr>
            </w:pPr>
          </w:p>
        </w:tc>
        <w:tc>
          <w:tcPr>
            <w:tcW w:w="580" w:type="dxa"/>
            <w:shd w:val="clear" w:color="auto" w:fill="auto"/>
            <w:vAlign w:val="center"/>
          </w:tcPr>
          <w:p>
            <w:pPr>
              <w:rPr>
                <w:rFonts w:hint="eastAsia" w:ascii="宋体" w:hAnsi="宋体" w:eastAsia="宋体" w:cs="宋体"/>
                <w:i w:val="0"/>
                <w:color w:val="000000"/>
                <w:sz w:val="22"/>
                <w:szCs w:val="22"/>
                <w:u w:val="none"/>
              </w:rPr>
            </w:pPr>
          </w:p>
        </w:tc>
        <w:tc>
          <w:tcPr>
            <w:tcW w:w="864" w:type="dxa"/>
            <w:shd w:val="clear" w:color="auto" w:fill="auto"/>
            <w:vAlign w:val="center"/>
          </w:tcPr>
          <w:p>
            <w:pPr>
              <w:rPr>
                <w:rFonts w:hint="eastAsia" w:ascii="宋体" w:hAnsi="宋体" w:eastAsia="宋体" w:cs="宋体"/>
                <w:i w:val="0"/>
                <w:color w:val="000000"/>
                <w:sz w:val="22"/>
                <w:szCs w:val="22"/>
                <w:u w:val="none"/>
              </w:rPr>
            </w:pPr>
          </w:p>
        </w:tc>
        <w:tc>
          <w:tcPr>
            <w:tcW w:w="1624"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2013101</w:t>
            </w:r>
          </w:p>
        </w:tc>
        <w:tc>
          <w:tcPr>
            <w:tcW w:w="24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2013199</w:t>
            </w:r>
          </w:p>
        </w:tc>
        <w:tc>
          <w:tcPr>
            <w:tcW w:w="24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其他党委办公厅（室）及相关机构事务支出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乃东区区委办2017年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乃东区区委办2017年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一般公共服务支出316.78万元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299.87</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16.91</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一般公共服务事务支出316.78万元</w:t>
      </w:r>
      <w:r>
        <w:rPr>
          <w:rFonts w:hint="eastAsia" w:ascii="仿宋_GB2312" w:hAnsi="仿宋_GB2312" w:eastAsia="仿宋_GB2312" w:cs="仿宋_GB2312"/>
          <w:color w:val="000000" w:themeColor="text1"/>
          <w:sz w:val="32"/>
          <w:szCs w:val="32"/>
          <w14:textFill>
            <w14:solidFill>
              <w14:schemeClr w14:val="tx1"/>
            </w14:solidFill>
          </w14:textFill>
        </w:rPr>
        <w:t>，占总比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201一般公共服务事务支出316.78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2012101行政运行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311.78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2013199其他党委办公厅（室）及相关机构事务支出5.0万元。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299.87</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60.68</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197.85</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34.5</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6.84</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16.91</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万元，水费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0.69</w:t>
      </w:r>
      <w:r>
        <w:rPr>
          <w:rFonts w:hint="eastAsia" w:ascii="仿宋_GB2312" w:hAnsi="仿宋_GB2312" w:eastAsia="仿宋_GB2312" w:cs="仿宋_GB2312"/>
          <w:color w:val="000000" w:themeColor="text1"/>
          <w:sz w:val="32"/>
          <w:szCs w:val="32"/>
          <w14:textFill>
            <w14:solidFill>
              <w14:schemeClr w14:val="tx1"/>
            </w14:solidFill>
          </w14:textFill>
        </w:rPr>
        <w:t xml:space="preserve"> 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6.94</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0.58</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其他商品和服务支出0.2万元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2017年三公经费预算合计4.78万元，同比减少1.89万元，下降28.36%。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减少的原因主要是财政部门把严格控制三公经费作为一项重要工作，认真贯彻落实中央、省、市、区关于厉行节约的各项要求，进一步从严控制“三公经费”开支。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一是严把预算关，实行源头控制，严格执行中央八项规定，在预算安排中对三公经费进行压缩，按照“三公经费”只减不增的原则控制一般性支出。 </w:t>
      </w:r>
    </w:p>
    <w:p>
      <w:pPr>
        <w:pStyle w:val="4"/>
        <w:shd w:val="clear" w:color="auto" w:fill="FFFFFF"/>
        <w:spacing w:before="0" w:beforeAutospacing="0" w:after="0" w:afterAutospacing="0"/>
        <w:ind w:firstLine="426"/>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二是严把支出关，实现动态管理，是注重宣传，提高贯彻落实自觉性，在日常财政监督监管中注重对预算单位的业务辅导和政策宣传，将三公经费管理作为各单位的重要工作来抓，明确职责完善制度。 </w:t>
      </w:r>
    </w:p>
    <w:p>
      <w:pPr>
        <w:pStyle w:val="4"/>
        <w:shd w:val="clear" w:color="auto" w:fill="FFFFFF"/>
        <w:spacing w:before="0" w:beforeAutospacing="0" w:after="0" w:afterAutospacing="0"/>
        <w:ind w:firstLine="42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乃东区区委办2017年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一般公共服务支出316.78万元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2017年区委办机关运行经费预算为11.52万元，与2016年23.6万元相比减少12.08万元，减少51.19%。</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名词解释1、财政拨款收入：指同级财政当年拨付的资金。</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0E8A37AD"/>
    <w:rsid w:val="1E8E3BE4"/>
    <w:rsid w:val="1F0D5063"/>
    <w:rsid w:val="23672AA3"/>
    <w:rsid w:val="25371F1B"/>
    <w:rsid w:val="2F942079"/>
    <w:rsid w:val="43E10E38"/>
    <w:rsid w:val="54D155E9"/>
    <w:rsid w:val="55671262"/>
    <w:rsid w:val="6007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01"/>
    <w:basedOn w:val="5"/>
    <w:qFormat/>
    <w:uiPriority w:val="0"/>
    <w:rPr>
      <w:rFonts w:hint="eastAsia" w:ascii="宋体" w:hAnsi="宋体" w:eastAsia="宋体" w:cs="宋体"/>
      <w:color w:val="000000"/>
      <w:sz w:val="21"/>
      <w:szCs w:val="21"/>
      <w:u w:val="none"/>
    </w:rPr>
  </w:style>
  <w:style w:type="character" w:customStyle="1" w:styleId="15">
    <w:name w:val="font71"/>
    <w:basedOn w:val="5"/>
    <w:qFormat/>
    <w:uiPriority w:val="0"/>
    <w:rPr>
      <w:rFonts w:hint="eastAsia" w:ascii="宋体" w:hAnsi="宋体" w:eastAsia="宋体" w:cs="宋体"/>
      <w:b/>
      <w:color w:val="000000"/>
      <w:sz w:val="24"/>
      <w:szCs w:val="24"/>
      <w:u w:val="none"/>
    </w:rPr>
  </w:style>
  <w:style w:type="character" w:customStyle="1" w:styleId="16">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2018-12-18T04:40:00Z</cp:lastPrinted>
  <dcterms:modified xsi:type="dcterms:W3CDTF">2018-12-19T03:20:53Z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