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第一部分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w:t>
      </w:r>
      <w:r>
        <w:rPr>
          <w:rFonts w:hint="eastAsia" w:ascii="仿宋_GB2312" w:hAnsi="仿宋_GB2312" w:eastAsia="仿宋_GB2312" w:cs="仿宋_GB2312"/>
          <w:color w:val="000000" w:themeColor="text1"/>
          <w:sz w:val="32"/>
          <w:szCs w:val="32"/>
          <w14:textFill>
            <w14:solidFill>
              <w14:schemeClr w14:val="tx1"/>
            </w14:solidFill>
          </w14:textFill>
        </w:rPr>
        <w:t>概况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一、部门预算单位构成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二、部门职责和机构设置</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第二部分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度部门预算明细表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一、财政拨款收支总表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三、一般公共预算基本支出表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四、一般公共预算“三公”经费支出表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五、政府性基金预算支出表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六、部门收支总表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七、部门收入总表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八、部门支出总表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第三部分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乃东区商务局（经济合作局）2017年</w:t>
      </w:r>
      <w:r>
        <w:rPr>
          <w:rFonts w:hint="eastAsia" w:ascii="仿宋_GB2312" w:hAnsi="仿宋_GB2312" w:eastAsia="仿宋_GB2312" w:cs="仿宋_GB2312"/>
          <w:color w:val="000000" w:themeColor="text1"/>
          <w:sz w:val="32"/>
          <w:szCs w:val="32"/>
          <w14:textFill>
            <w14:solidFill>
              <w14:schemeClr w14:val="tx1"/>
            </w14:solidFill>
          </w14:textFill>
        </w:rPr>
        <w:t>度部门预算数据分析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第四部分 名词解释</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w:t>
      </w:r>
    </w:p>
    <w:p>
      <w:pPr>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根据《中共山南市委办公室 山南市人民政府办公室关于印发〈乃东区政府职能转变和机构改革方案〉的通知》（山委办〔2016〕74号）精神，设立乃东区商务局（经济合作局）</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正科级，为乃东区人民政府工作部门。</w:t>
      </w:r>
    </w:p>
    <w:p>
      <w:pPr>
        <w:widowControl w:val="0"/>
        <w:numPr>
          <w:ilvl w:val="0"/>
          <w:numId w:val="1"/>
        </w:numPr>
        <w:adjustRightInd/>
        <w:snapToGrid/>
        <w:spacing w:after="0" w:afterLines="0" w:line="576" w:lineRule="exact"/>
        <w:ind w:firstLine="640" w:firstLineChars="200"/>
        <w:rPr>
          <w:rFonts w:ascii="Times New Roman" w:hAnsi="Times New Roman" w:eastAsia="黑体"/>
          <w:sz w:val="32"/>
          <w:szCs w:val="32"/>
        </w:rPr>
      </w:pPr>
      <w:r>
        <w:rPr>
          <w:rFonts w:ascii="Times New Roman" w:hAnsi="Times New Roman" w:eastAsia="黑体"/>
          <w:sz w:val="32"/>
          <w:szCs w:val="32"/>
        </w:rPr>
        <w:t>职责调整</w:t>
      </w:r>
    </w:p>
    <w:p>
      <w:pPr>
        <w:widowControl w:val="0"/>
        <w:adjustRightInd/>
        <w:snapToGrid/>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rPr>
        <w:t>（一）取消已由国务院、自治区、市人民政府公布取消的行政审批事项。</w:t>
      </w:r>
    </w:p>
    <w:p>
      <w:pPr>
        <w:widowControl w:val="0"/>
        <w:adjustRightInd/>
        <w:snapToGrid/>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（二）将区经济合作局的职责划入区商务局（经济合作局）。</w:t>
      </w:r>
    </w:p>
    <w:p>
      <w:pPr>
        <w:widowControl w:val="0"/>
        <w:adjustRightInd/>
        <w:snapToGrid/>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w:t>
      </w:r>
      <w:r>
        <w:rPr>
          <w:rFonts w:ascii="Times New Roman" w:hAnsi="Times New Roman" w:eastAsia="仿宋_GB2312"/>
          <w:sz w:val="32"/>
        </w:rPr>
        <w:t>将</w:t>
      </w:r>
      <w:r>
        <w:rPr>
          <w:rFonts w:hint="eastAsia" w:ascii="Times New Roman" w:hAnsi="Times New Roman" w:eastAsia="仿宋_GB2312"/>
          <w:sz w:val="32"/>
        </w:rPr>
        <w:t>区商务</w:t>
      </w:r>
      <w:r>
        <w:rPr>
          <w:rFonts w:hint="eastAsia" w:ascii="Times New Roman" w:hAnsi="Times New Roman" w:eastAsia="仿宋_GB2312"/>
          <w:sz w:val="32"/>
          <w:highlight w:val="none"/>
          <w:vertAlign w:val="baseline"/>
        </w:rPr>
        <w:t>局</w:t>
      </w:r>
      <w:r>
        <w:rPr>
          <w:rFonts w:hint="eastAsia" w:ascii="Times New Roman" w:hAnsi="Times New Roman" w:eastAsia="仿宋_GB2312"/>
          <w:sz w:val="32"/>
          <w:highlight w:val="none"/>
          <w:vertAlign w:val="baseline"/>
          <w:lang w:eastAsia="zh-CN"/>
        </w:rPr>
        <w:t>（经济合作局）</w:t>
      </w:r>
      <w:r>
        <w:rPr>
          <w:rFonts w:hint="eastAsia" w:ascii="Times New Roman" w:hAnsi="Times New Roman" w:eastAsia="仿宋_GB2312"/>
          <w:sz w:val="32"/>
        </w:rPr>
        <w:t>承担的</w:t>
      </w:r>
      <w:r>
        <w:rPr>
          <w:rFonts w:ascii="Times New Roman" w:hAnsi="Times New Roman" w:eastAsia="仿宋_GB2312"/>
          <w:sz w:val="32"/>
        </w:rPr>
        <w:t>生猪屠宰监管职责</w:t>
      </w:r>
      <w:r>
        <w:rPr>
          <w:rFonts w:hint="eastAsia" w:ascii="Times New Roman" w:hAnsi="Times New Roman" w:eastAsia="仿宋_GB2312"/>
          <w:sz w:val="32"/>
        </w:rPr>
        <w:t>划入</w:t>
      </w:r>
      <w:r>
        <w:rPr>
          <w:rFonts w:ascii="Times New Roman" w:hAnsi="Times New Roman" w:eastAsia="仿宋_GB2312"/>
          <w:sz w:val="32"/>
        </w:rPr>
        <w:t>区农牧局</w:t>
      </w:r>
      <w:r>
        <w:rPr>
          <w:rFonts w:ascii="Times New Roman" w:hAnsi="Times New Roman" w:eastAsia="仿宋_GB2312"/>
          <w:sz w:val="32"/>
          <w:szCs w:val="32"/>
          <w:shd w:val="clear" w:color="auto" w:fill="FFFFFF"/>
        </w:rPr>
        <w:t>（</w:t>
      </w:r>
      <w:r>
        <w:rPr>
          <w:rFonts w:ascii="Times New Roman" w:hAnsi="Times New Roman" w:eastAsia="仿宋_GB2312"/>
          <w:sz w:val="32"/>
        </w:rPr>
        <w:t>科学技术局、科学技术协会</w:t>
      </w:r>
      <w:r>
        <w:rPr>
          <w:rFonts w:ascii="Times New Roman" w:hAnsi="Times New Roman" w:eastAsia="仿宋_GB2312"/>
          <w:sz w:val="32"/>
          <w:szCs w:val="32"/>
          <w:shd w:val="clear" w:color="auto" w:fill="FFFFFF"/>
        </w:rPr>
        <w:t>）</w:t>
      </w:r>
      <w:r>
        <w:rPr>
          <w:rFonts w:ascii="Times New Roman" w:hAnsi="Times New Roman" w:eastAsia="仿宋_GB2312"/>
          <w:sz w:val="32"/>
        </w:rPr>
        <w:t>。</w:t>
      </w:r>
    </w:p>
    <w:p>
      <w:pPr>
        <w:widowControl w:val="0"/>
        <w:adjustRightInd/>
        <w:spacing w:after="0" w:afterLines="0" w:line="576" w:lineRule="exact"/>
        <w:ind w:firstLine="640" w:firstLineChars="200"/>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二、主要职责</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一）贯彻执行国家、自治区和市政府有关国内外贸易、外商投资、对外援助、对外投资和对外经济合作的方针政策和法律法规；执行国家、自治区有关国内外贸易和国际经济合作的发展战略、政策；拟定全区国内外贸易、国际经济合作发展规划并组织实施；研究次区域经济合作、现代流通方式的发展趋势和流通体制改革并提出建议。</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二）负责推进全区流通产业结构调整，指导流通企业改革、商贸服务业和社区商业发展，提出促进商贸中小企业发展的政策建议，推动流通标准化和连锁经营、商业特许经营、物流配送、电子商务等现代流通方式的发展。</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（三）承担促进城乡市场发展的责任，负责全区大宗产品批发市场规划和城镇商业网点规划、商业体系建设工作，推进农牧区市场体系建设，组织实施农牧区现代流通网络工程。</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（四）负责整顿和规范市场经济秩序工作的责任。执行规范市场运行、流通秩序的政策；推动商务领域信用建设，指导商业信用销售，建立市场诚信公共服务平台；按有关规定对特殊流通行业进行监督管理。</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（五）承担重要消费品市场调控和重要生产资料流通管理的责任。</w:t>
      </w:r>
    </w:p>
    <w:p>
      <w:pPr>
        <w:widowControl w:val="0"/>
        <w:adjustRightInd/>
        <w:spacing w:after="0" w:afterLines="0" w:line="576" w:lineRule="exact"/>
        <w:ind w:firstLine="640" w:firstLineChars="200"/>
        <w:rPr>
          <w:rFonts w:ascii="Times New Roman" w:hAnsi="Times New Roman" w:eastAsia="仿宋_GB2312"/>
          <w:sz w:val="32"/>
          <w:bdr w:val="single" w:color="auto" w:sz="4" w:space="0"/>
        </w:rPr>
      </w:pPr>
      <w:r>
        <w:rPr>
          <w:rFonts w:ascii="Times New Roman" w:hAnsi="Times New Roman" w:eastAsia="仿宋_GB2312"/>
          <w:sz w:val="32"/>
        </w:rPr>
        <w:t>（八）负责产业安全应对工作及国外对全区出口商品的反倾销、反补贴、保障措施的应诉及其他与进出口公平贸易相关的工作，建立进出口公平贸易预警机制,承办区政府交办的外商投资企业的设立文件审核工作，上报其变更事项、重大外商投资项目合同章程及法律特别规定的重大变更。</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九）负责全区外商投资工作，依法审核上报重大外商投资项目合同章程及法律特别规定的重大变更事项；依法监督检查外商投资企业执行有关法律法规、政策规章、合同章程的情况并协调解决有关问题，负责投资促进，规范对外招商引资工作；负责全市国内商贸领域的各类展会工作。</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（十三）负责盐业管理；负责全区碘盐推广工作；承担全区盐业市场销售质量监测；负责盐业行政执法工作。</w:t>
      </w:r>
    </w:p>
    <w:p>
      <w:pPr>
        <w:widowControl w:val="0"/>
        <w:numPr>
          <w:ilvl w:val="0"/>
          <w:numId w:val="2"/>
        </w:numPr>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负责推进全区商贸领域行政执法。</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五）提出招商引资和经济技术合作的战略、规划、总量平衡和结构优化的目标、政策；负责招商引资工作的宏观管理，负责和统筹协商国内招商引资和经济技术协作活动；会同有关部门拟订外商投资产业指导目录；负责全区重大招商项目的评估和协调工作。</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六）贯彻执行国家、自治区和市有关对外经济合作和招商引资的方针、政策和法律、法规、规章、改革方案；拟订促进全市对外经济合作和招商引资发展的规定、措施；受委托起草有关地方性经济合作政策及发展规划草案，经审议通过后组织实施。</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（十五）负责编制招商计划，组织开展对外招商、谈判、签约等活动；负责全区招商引资企业的立项申请、可行性研究报告及合同、章程审批和审核转报工作。</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（十六）加强招商引资的对外联络工作，具体组织和协调有关部门承办区对外招商活动，参与乃东在区内外举办的对外经贸交易会、展销会、洽谈会。</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（十七）负责全区招商引资咨询服务工作，指导并协调各乡（镇）、各部门的对外经济合作与招商引资事宜。</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（十八）负责全区招商引资企业的指导、监督、协调和服务工作，检查监督招商引资企业执行有关法律、法规和合同、章程的情况；负责招商引资统计工作，分析研究外来投资情况。</w:t>
      </w:r>
    </w:p>
    <w:p>
      <w:pPr>
        <w:widowControl w:val="0"/>
        <w:adjustRightIn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（十九）负责招商网络建设；论证筛选招商引资项目，整理汇编全区招商引资库；负责全区招商引资政策的对外宣传和招商引资资料的搜集、修改、整理、归档等工作。</w:t>
      </w:r>
    </w:p>
    <w:p>
      <w:pPr>
        <w:widowControl w:val="0"/>
        <w:adjustRightInd/>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rPr>
        <w:t>（二十）监测、分析全区招商引资企业生产运行态势，协调解决其经济运行中的有关事宜和困难，并提出对策和措施。</w:t>
      </w:r>
    </w:p>
    <w:p>
      <w:pPr>
        <w:spacing w:after="0" w:afterLines="0" w:line="576"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（二十一）承办区政府交办的其他事项</w:t>
      </w:r>
    </w:p>
    <w:p>
      <w:pPr>
        <w:spacing w:after="0" w:afterLines="0" w:line="576" w:lineRule="exact"/>
        <w:ind w:firstLine="640" w:firstLineChars="200"/>
        <w:rPr>
          <w:rFonts w:ascii="Times New Roman" w:hAnsi="Times New Roman" w:eastAsia="黑体"/>
          <w:sz w:val="32"/>
        </w:rPr>
      </w:pPr>
      <w:r>
        <w:rPr>
          <w:rFonts w:ascii="Times New Roman" w:hAnsi="Times New Roman" w:eastAsia="黑体"/>
          <w:sz w:val="32"/>
        </w:rPr>
        <w:t>三、内设机构</w:t>
      </w:r>
    </w:p>
    <w:p>
      <w:pPr>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szCs w:val="32"/>
          <w:shd w:val="clear" w:color="auto" w:fill="FFFFFF"/>
        </w:rPr>
        <w:t>乃东区商务局（经济合作局）</w:t>
      </w:r>
      <w:r>
        <w:rPr>
          <w:rFonts w:ascii="Times New Roman" w:hAnsi="Times New Roman" w:eastAsia="仿宋_GB2312"/>
          <w:sz w:val="32"/>
        </w:rPr>
        <w:t>不设内设机构。</w:t>
      </w:r>
    </w:p>
    <w:p>
      <w:pPr>
        <w:widowControl w:val="0"/>
        <w:adjustRightInd/>
        <w:snapToGrid/>
        <w:spacing w:after="0" w:afterLines="0" w:line="576" w:lineRule="exact"/>
        <w:ind w:firstLine="640" w:firstLineChars="200"/>
        <w:rPr>
          <w:rFonts w:ascii="Times New Roman" w:hAnsi="Times New Roman" w:eastAsia="黑体"/>
          <w:sz w:val="32"/>
        </w:rPr>
      </w:pPr>
      <w:r>
        <w:rPr>
          <w:rFonts w:ascii="Times New Roman" w:hAnsi="Times New Roman" w:eastAsia="黑体"/>
          <w:sz w:val="32"/>
        </w:rPr>
        <w:t>四、人员编制和领导职数</w:t>
      </w:r>
    </w:p>
    <w:p>
      <w:pPr>
        <w:widowControl w:val="0"/>
        <w:adjustRightInd/>
        <w:snapToGri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乃东区商务局</w:t>
      </w:r>
      <w:r>
        <w:rPr>
          <w:rFonts w:ascii="Times New Roman" w:hAnsi="Times New Roman" w:eastAsia="仿宋_GB2312"/>
          <w:sz w:val="32"/>
          <w:szCs w:val="32"/>
          <w:shd w:val="clear" w:color="auto" w:fill="FFFFFF"/>
        </w:rPr>
        <w:t>（经济合作局）</w:t>
      </w:r>
      <w:r>
        <w:rPr>
          <w:rFonts w:ascii="Times New Roman" w:hAnsi="Times New Roman" w:eastAsia="仿宋_GB2312"/>
          <w:sz w:val="32"/>
        </w:rPr>
        <w:t>核定编制总数</w:t>
      </w:r>
      <w:r>
        <w:rPr>
          <w:rFonts w:hint="eastAsia" w:ascii="Times New Roman" w:hAnsi="Times New Roman" w:eastAsia="仿宋_GB2312"/>
          <w:sz w:val="32"/>
        </w:rPr>
        <w:t xml:space="preserve"> 5</w:t>
      </w:r>
      <w:r>
        <w:rPr>
          <w:rFonts w:ascii="Times New Roman" w:hAnsi="Times New Roman" w:eastAsia="仿宋_GB2312"/>
          <w:sz w:val="32"/>
        </w:rPr>
        <w:t>名。其中：行政编制</w:t>
      </w:r>
      <w:r>
        <w:rPr>
          <w:rFonts w:hint="eastAsia" w:ascii="Times New Roman" w:hAnsi="Times New Roman" w:eastAsia="仿宋_GB2312"/>
          <w:sz w:val="32"/>
        </w:rPr>
        <w:t xml:space="preserve"> 3</w:t>
      </w:r>
      <w:r>
        <w:rPr>
          <w:rFonts w:ascii="Times New Roman" w:hAnsi="Times New Roman" w:eastAsia="仿宋_GB2312"/>
          <w:sz w:val="32"/>
        </w:rPr>
        <w:t>名，事业编制</w:t>
      </w:r>
      <w:r>
        <w:rPr>
          <w:rFonts w:hint="eastAsia" w:ascii="Times New Roman" w:hAnsi="Times New Roman" w:eastAsia="仿宋_GB2312"/>
          <w:sz w:val="32"/>
        </w:rPr>
        <w:t xml:space="preserve"> 2</w:t>
      </w:r>
      <w:r>
        <w:rPr>
          <w:rFonts w:ascii="Times New Roman" w:hAnsi="Times New Roman" w:eastAsia="仿宋_GB2312"/>
          <w:sz w:val="32"/>
        </w:rPr>
        <w:t>名。</w:t>
      </w:r>
    </w:p>
    <w:p>
      <w:pPr>
        <w:widowControl w:val="0"/>
        <w:adjustRightInd/>
        <w:snapToGrid/>
        <w:spacing w:after="0" w:afterLines="0" w:line="576" w:lineRule="exact"/>
        <w:ind w:firstLine="640" w:firstLineChars="200"/>
        <w:rPr>
          <w:rFonts w:ascii="Times New Roman" w:hAnsi="Times New Roman" w:eastAsia="仿宋_GB2312"/>
          <w:sz w:val="32"/>
        </w:rPr>
      </w:pPr>
      <w:r>
        <w:rPr>
          <w:rFonts w:ascii="Times New Roman" w:hAnsi="Times New Roman" w:eastAsia="仿宋_GB2312"/>
          <w:sz w:val="32"/>
        </w:rPr>
        <w:t>领导职数：核定局领导职数</w:t>
      </w:r>
      <w:r>
        <w:rPr>
          <w:rFonts w:hint="eastAsia" w:ascii="Times New Roman" w:hAnsi="Times New Roman" w:eastAsia="仿宋_GB2312"/>
          <w:sz w:val="32"/>
        </w:rPr>
        <w:t xml:space="preserve"> 4</w:t>
      </w:r>
      <w:r>
        <w:rPr>
          <w:rFonts w:ascii="Times New Roman" w:hAnsi="Times New Roman" w:eastAsia="仿宋_GB2312"/>
          <w:sz w:val="32"/>
        </w:rPr>
        <w:t>名。</w:t>
      </w:r>
    </w:p>
    <w:p>
      <w:pPr>
        <w:widowControl w:val="0"/>
        <w:adjustRightInd/>
        <w:snapToGrid/>
        <w:spacing w:after="0" w:afterLines="0" w:line="576" w:lineRule="exact"/>
        <w:ind w:firstLine="640" w:firstLineChars="200"/>
        <w:rPr>
          <w:rFonts w:ascii="Times New Roman" w:hAnsi="Times New Roman" w:eastAsia="仿宋_GB2312"/>
          <w:sz w:val="32"/>
        </w:rPr>
      </w:pPr>
      <w:r>
        <w:rPr>
          <w:rFonts w:ascii="Times New Roman" w:hAnsi="Times New Roman" w:eastAsia="黑体"/>
          <w:sz w:val="32"/>
        </w:rPr>
        <w:t>五、附则</w:t>
      </w:r>
    </w:p>
    <w:p>
      <w:pPr>
        <w:widowControl w:val="0"/>
        <w:numPr>
          <w:ilvl w:val="0"/>
          <w:numId w:val="3"/>
        </w:numPr>
        <w:adjustRightInd/>
        <w:snapToGrid/>
        <w:spacing w:after="0" w:afterLines="0" w:line="576" w:lineRule="exact"/>
        <w:ind w:firstLine="640" w:firstLineChars="200"/>
        <w:rPr>
          <w:rFonts w:ascii="Times New Roman" w:hAnsi="Times New Roman" w:eastAsia="仿宋_GB2312"/>
          <w:sz w:val="32"/>
          <w:highlight w:val="none"/>
        </w:rPr>
      </w:pPr>
      <w:r>
        <w:rPr>
          <w:rFonts w:ascii="Times New Roman" w:hAnsi="Times New Roman" w:eastAsia="仿宋_GB2312"/>
          <w:sz w:val="32"/>
          <w:highlight w:val="none"/>
        </w:rPr>
        <w:t>本规定由区机构编制委员会办公室负责解释，其调整由区机构编制委员会办公室按规定程序办理。</w:t>
      </w:r>
    </w:p>
    <w:p>
      <w:pPr>
        <w:widowControl w:val="0"/>
        <w:adjustRightInd/>
        <w:snapToGrid/>
        <w:spacing w:after="0" w:afterLines="0" w:line="576" w:lineRule="exact"/>
        <w:ind w:firstLine="640" w:firstLineChars="200"/>
        <w:jc w:val="both"/>
        <w:rPr>
          <w:rFonts w:ascii="Times New Roman" w:hAnsi="Times New Roman" w:eastAsia="黑体"/>
          <w:bCs/>
          <w:sz w:val="32"/>
          <w:szCs w:val="32"/>
          <w:highlight w:val="none"/>
          <w:shd w:val="clear" w:color="auto" w:fill="FFFFFF"/>
        </w:rPr>
      </w:pPr>
      <w:r>
        <w:rPr>
          <w:rFonts w:ascii="Times New Roman" w:hAnsi="Times New Roman" w:eastAsia="仿宋_GB2312"/>
          <w:sz w:val="32"/>
          <w:highlight w:val="none"/>
        </w:rPr>
        <w:t>（二）区机构编制委员会办公室对</w:t>
      </w:r>
      <w:r>
        <w:rPr>
          <w:rFonts w:ascii="Times New Roman" w:hAnsi="Times New Roman" w:eastAsia="仿宋_GB2312"/>
          <w:sz w:val="32"/>
          <w:szCs w:val="32"/>
          <w:highlight w:val="none"/>
          <w:shd w:val="clear" w:color="auto" w:fill="FFFFFF"/>
        </w:rPr>
        <w:t>区商务局（经济合作局）</w:t>
      </w:r>
      <w:r>
        <w:rPr>
          <w:rFonts w:ascii="Times New Roman" w:hAnsi="Times New Roman" w:eastAsia="仿宋_GB2312"/>
          <w:sz w:val="32"/>
          <w:highlight w:val="none"/>
        </w:rPr>
        <w:t>职责履行情况进行监督检查。</w:t>
      </w: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10"/>
        <w:autoSpaceDN w:val="0"/>
        <w:spacing w:line="576" w:lineRule="exact"/>
        <w:ind w:firstLine="640"/>
        <w:rPr>
          <w:sz w:val="32"/>
          <w:szCs w:val="32"/>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w:t>
      </w: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65"/>
        <w:gridCol w:w="1558"/>
        <w:gridCol w:w="1435"/>
        <w:gridCol w:w="1148"/>
        <w:gridCol w:w="1221"/>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80"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123"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1435"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1148"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630"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trPr>
        <w:tc>
          <w:tcPr>
            <w:tcW w:w="3123"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13"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 总 计</w:t>
            </w:r>
          </w:p>
        </w:tc>
        <w:tc>
          <w:tcPr>
            <w:tcW w:w="15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183.4</w:t>
            </w:r>
          </w:p>
        </w:tc>
        <w:tc>
          <w:tcPr>
            <w:tcW w:w="1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 总 计</w:t>
            </w:r>
          </w:p>
        </w:tc>
        <w:tc>
          <w:tcPr>
            <w:tcW w:w="11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183.4</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183.4</w:t>
            </w:r>
          </w:p>
        </w:tc>
        <w:tc>
          <w:tcPr>
            <w:tcW w:w="140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5"/>
        <w:gridCol w:w="2010"/>
        <w:gridCol w:w="1371"/>
        <w:gridCol w:w="1372"/>
        <w:gridCol w:w="1366"/>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10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r>
              <w:rPr>
                <w:rFonts w:hint="eastAsia" w:ascii="宋体" w:hAnsi="宋体" w:eastAsia="宋体" w:cs="宋体"/>
                <w:i w:val="0"/>
                <w:color w:val="000000"/>
                <w:kern w:val="0"/>
                <w:sz w:val="21"/>
                <w:szCs w:val="21"/>
                <w:u w:val="none"/>
                <w:lang w:val="en-US" w:eastAsia="zh-CN" w:bidi="ar"/>
              </w:rPr>
              <w:t>7年预算数</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183.4</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2011301</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2011308</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招商引资</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3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183.4</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163.4</w:t>
            </w:r>
          </w:p>
        </w:tc>
        <w:tc>
          <w:tcPr>
            <w:tcW w:w="1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6"/>
            <w:shd w:val="cle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Style w:val="14"/>
                <w:lang w:val="en-US" w:eastAsia="zh-CN" w:bidi="ar"/>
              </w:rPr>
              <w:t>项级</w:t>
            </w:r>
            <w:r>
              <w:rPr>
                <w:rStyle w:val="15"/>
                <w:lang w:val="en-US" w:eastAsia="zh-CN" w:bidi="ar"/>
              </w:rPr>
              <w:t>科目</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835" w:type="dxa"/>
        <w:jc w:val="center"/>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2"/>
        <w:gridCol w:w="2058"/>
        <w:gridCol w:w="1394"/>
        <w:gridCol w:w="1232"/>
        <w:gridCol w:w="1435"/>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jc w:val="center"/>
        </w:trPr>
        <w:tc>
          <w:tcPr>
            <w:tcW w:w="8835" w:type="dxa"/>
            <w:gridSpan w:val="6"/>
            <w:shd w:val="cle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362" w:type="dxa"/>
            <w:shd w:val="clear"/>
            <w:vAlign w:val="bottom"/>
          </w:tcPr>
          <w:p>
            <w:pPr>
              <w:jc w:val="both"/>
              <w:rPr>
                <w:rFonts w:hint="eastAsia" w:ascii="宋体" w:hAnsi="宋体" w:eastAsia="宋体" w:cs="宋体"/>
                <w:i w:val="0"/>
                <w:color w:val="000000"/>
                <w:sz w:val="21"/>
                <w:szCs w:val="21"/>
                <w:u w:val="none"/>
              </w:rPr>
            </w:pPr>
          </w:p>
        </w:tc>
        <w:tc>
          <w:tcPr>
            <w:tcW w:w="2058" w:type="dxa"/>
            <w:shd w:val="clear"/>
            <w:vAlign w:val="bottom"/>
          </w:tcPr>
          <w:p>
            <w:pPr>
              <w:jc w:val="both"/>
              <w:rPr>
                <w:rFonts w:hint="eastAsia" w:ascii="宋体" w:hAnsi="宋体" w:eastAsia="宋体" w:cs="宋体"/>
                <w:i w:val="0"/>
                <w:color w:val="000000"/>
                <w:sz w:val="22"/>
                <w:szCs w:val="22"/>
                <w:u w:val="none"/>
              </w:rPr>
            </w:pPr>
          </w:p>
        </w:tc>
        <w:tc>
          <w:tcPr>
            <w:tcW w:w="1394" w:type="dxa"/>
            <w:shd w:val="clear"/>
            <w:vAlign w:val="bottom"/>
          </w:tcPr>
          <w:p>
            <w:pPr>
              <w:jc w:val="both"/>
              <w:rPr>
                <w:rFonts w:hint="eastAsia" w:ascii="宋体" w:hAnsi="宋体" w:eastAsia="宋体" w:cs="宋体"/>
                <w:i w:val="0"/>
                <w:color w:val="000000"/>
                <w:sz w:val="22"/>
                <w:szCs w:val="22"/>
                <w:u w:val="none"/>
              </w:rPr>
            </w:pPr>
          </w:p>
        </w:tc>
        <w:tc>
          <w:tcPr>
            <w:tcW w:w="1232" w:type="dxa"/>
            <w:shd w:val="clear"/>
            <w:vAlign w:val="bottom"/>
          </w:tcPr>
          <w:p>
            <w:pPr>
              <w:jc w:val="both"/>
              <w:rPr>
                <w:rFonts w:hint="eastAsia" w:ascii="宋体" w:hAnsi="宋体" w:eastAsia="宋体" w:cs="宋体"/>
                <w:i w:val="0"/>
                <w:color w:val="000000"/>
                <w:sz w:val="22"/>
                <w:szCs w:val="22"/>
                <w:u w:val="none"/>
              </w:rPr>
            </w:pPr>
          </w:p>
        </w:tc>
        <w:tc>
          <w:tcPr>
            <w:tcW w:w="2789"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420"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4061" w:type="dxa"/>
            <w:gridSpan w:val="3"/>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2017基本支出</w:t>
            </w:r>
          </w:p>
        </w:tc>
        <w:tc>
          <w:tcPr>
            <w:tcW w:w="1354" w:type="dxa"/>
            <w:vMerge w:val="restart"/>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435" w:type="dxa"/>
            <w:tcBorders>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1354" w:type="dxa"/>
            <w:vMerge w:val="continue"/>
            <w:tcBorders>
              <w:top w:val="single" w:color="000000" w:sz="12" w:space="0"/>
              <w:left w:val="single" w:color="000000" w:sz="12" w:space="0"/>
              <w:bottom w:val="single" w:color="000000" w:sz="12" w:space="0"/>
              <w:right w:val="single" w:color="000000" w:sz="12"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146.68</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146.68</w:t>
            </w:r>
          </w:p>
        </w:tc>
        <w:tc>
          <w:tcPr>
            <w:tcW w:w="1435"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29.24</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29.24</w:t>
            </w:r>
          </w:p>
        </w:tc>
        <w:tc>
          <w:tcPr>
            <w:tcW w:w="1435"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105.23</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105.23</w:t>
            </w:r>
          </w:p>
        </w:tc>
        <w:tc>
          <w:tcPr>
            <w:tcW w:w="1435"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10.11</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10.11</w:t>
            </w:r>
          </w:p>
        </w:tc>
        <w:tc>
          <w:tcPr>
            <w:tcW w:w="1435"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35" w:type="dxa"/>
            <w:tcBorders>
              <w:bottom w:val="single" w:color="000000" w:sz="12" w:space="0"/>
              <w:right w:val="single" w:color="000000" w:sz="12" w:space="0"/>
            </w:tcBorders>
            <w:shd w:val="clear"/>
            <w:vAlign w:val="bottom"/>
          </w:tcPr>
          <w:p>
            <w:pPr>
              <w:jc w:val="right"/>
              <w:rPr>
                <w:rFonts w:hint="eastAsia" w:ascii="宋体" w:hAnsi="宋体" w:eastAsia="宋体" w:cs="宋体"/>
                <w:i w:val="0"/>
                <w:color w:val="000000"/>
                <w:sz w:val="21"/>
                <w:szCs w:val="21"/>
                <w:u w:val="none"/>
              </w:rPr>
            </w:pP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商品和服务支出</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16.72</w:t>
            </w:r>
          </w:p>
        </w:tc>
        <w:tc>
          <w:tcPr>
            <w:tcW w:w="1232" w:type="dxa"/>
            <w:tcBorders>
              <w:bottom w:val="single" w:color="000000" w:sz="12" w:space="0"/>
              <w:right w:val="single" w:color="000000" w:sz="12" w:space="0"/>
            </w:tcBorders>
            <w:shd w:val="clear"/>
            <w:vAlign w:val="bottom"/>
          </w:tcPr>
          <w:p>
            <w:pPr>
              <w:jc w:val="right"/>
              <w:rPr>
                <w:rFonts w:hint="eastAsia" w:ascii="宋体" w:hAnsi="宋体" w:eastAsia="宋体" w:cs="宋体"/>
                <w:b/>
                <w:i w:val="0"/>
                <w:color w:val="000000"/>
                <w:sz w:val="21"/>
                <w:szCs w:val="21"/>
                <w:u w:val="none"/>
              </w:rPr>
            </w:pPr>
          </w:p>
        </w:tc>
        <w:tc>
          <w:tcPr>
            <w:tcW w:w="1435"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13.65</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0.69</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2.88</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1362"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58" w:type="dxa"/>
            <w:tcBorders>
              <w:bottom w:val="single" w:color="000000" w:sz="12" w:space="0"/>
              <w:right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1232" w:type="dxa"/>
            <w:tcBorders>
              <w:bottom w:val="single" w:color="000000" w:sz="12" w:space="0"/>
              <w:right w:val="single" w:color="000000" w:sz="12" w:space="0"/>
            </w:tcBorders>
            <w:shd w:val="clear"/>
            <w:vAlign w:val="center"/>
          </w:tcPr>
          <w:p>
            <w:pPr>
              <w:jc w:val="right"/>
              <w:rPr>
                <w:rFonts w:hint="eastAsia" w:ascii="宋体" w:hAnsi="宋体" w:eastAsia="宋体" w:cs="宋体"/>
                <w:i w:val="0"/>
                <w:color w:val="000000"/>
                <w:sz w:val="21"/>
                <w:szCs w:val="21"/>
                <w:u w:val="none"/>
              </w:rPr>
            </w:pPr>
          </w:p>
        </w:tc>
        <w:tc>
          <w:tcPr>
            <w:tcW w:w="1435" w:type="dxa"/>
            <w:tcBorders>
              <w:bottom w:val="single" w:color="000000" w:sz="12" w:space="0"/>
              <w:right w:val="single" w:color="000000" w:sz="12" w:space="0"/>
            </w:tcBorders>
            <w:shd w:val="cle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3420" w:type="dxa"/>
            <w:gridSpan w:val="2"/>
            <w:tcBorders>
              <w:top w:val="single" w:color="000000" w:sz="12" w:space="0"/>
              <w:left w:val="single" w:color="000000" w:sz="12"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4"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163.4</w:t>
            </w:r>
          </w:p>
        </w:tc>
        <w:tc>
          <w:tcPr>
            <w:tcW w:w="1232"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146.68</w:t>
            </w:r>
          </w:p>
        </w:tc>
        <w:tc>
          <w:tcPr>
            <w:tcW w:w="1435" w:type="dxa"/>
            <w:tcBorders>
              <w:bottom w:val="single" w:color="000000" w:sz="12" w:space="0"/>
              <w:right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13.65</w:t>
            </w:r>
          </w:p>
        </w:tc>
        <w:tc>
          <w:tcPr>
            <w:tcW w:w="1354" w:type="dxa"/>
            <w:tcBorders>
              <w:bottom w:val="single" w:color="000000" w:sz="12" w:space="0"/>
              <w:right w:val="single" w:color="000000" w:sz="12" w:space="0"/>
            </w:tcBorders>
            <w:shd w:val="clear"/>
            <w:vAlign w:val="bottom"/>
          </w:tcPr>
          <w:p>
            <w:pPr>
              <w:jc w:val="center"/>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8"/>
        <w:gridCol w:w="1390"/>
        <w:gridCol w:w="1389"/>
        <w:gridCol w:w="1390"/>
        <w:gridCol w:w="1390"/>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trPr>
        <w:tc>
          <w:tcPr>
            <w:tcW w:w="8336" w:type="dxa"/>
            <w:gridSpan w:val="6"/>
            <w:shd w:val="cle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2017年乃东区商务局一般公共预算“三公”</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388"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90" w:type="dxa"/>
            <w:tcBorders>
              <w:bottom w:val="single" w:color="000000" w:sz="4" w:space="0"/>
            </w:tcBorders>
            <w:shd w:val="clear"/>
            <w:vAlign w:val="center"/>
          </w:tcPr>
          <w:p>
            <w:pPr>
              <w:rPr>
                <w:rFonts w:hint="eastAsia" w:ascii="方正小标宋简体" w:hAnsi="方正小标宋简体" w:eastAsia="方正小标宋简体" w:cs="方正小标宋简体"/>
                <w:i w:val="0"/>
                <w:color w:val="000000"/>
                <w:sz w:val="36"/>
                <w:szCs w:val="36"/>
                <w:u w:val="none"/>
              </w:rPr>
            </w:pPr>
          </w:p>
        </w:tc>
        <w:tc>
          <w:tcPr>
            <w:tcW w:w="1389" w:type="dxa"/>
            <w:tcBorders>
              <w:bottom w:val="single" w:color="000000" w:sz="4" w:space="0"/>
            </w:tcBorders>
            <w:shd w:val="clear"/>
            <w:vAlign w:val="center"/>
          </w:tcPr>
          <w:p>
            <w:pPr>
              <w:keepNext w:val="0"/>
              <w:keepLines w:val="0"/>
              <w:widowControl/>
              <w:suppressLineNumbers w:val="0"/>
              <w:jc w:val="right"/>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8336" w:type="dxa"/>
            <w:gridSpan w:val="6"/>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4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13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13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4.08</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38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25"/>
        <w:gridCol w:w="1887"/>
        <w:gridCol w:w="1130"/>
        <w:gridCol w:w="1131"/>
        <w:gridCol w:w="1130"/>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75" w:hRule="atLeast"/>
        </w:trPr>
        <w:tc>
          <w:tcPr>
            <w:tcW w:w="8336" w:type="dxa"/>
            <w:gridSpan w:val="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eastAsia" w:ascii="方正小标宋简体" w:hAnsi="方正小标宋简体" w:eastAsia="方正小标宋简体" w:cs="方正小标宋简体"/>
                <w:b/>
                <w:i w:val="0"/>
                <w:color w:val="000000"/>
                <w:kern w:val="0"/>
                <w:sz w:val="32"/>
                <w:szCs w:val="32"/>
                <w:u w:val="none"/>
                <w:lang w:val="en-US" w:eastAsia="zh-CN" w:bidi="ar"/>
              </w:rPr>
              <w:t xml:space="preserve">        2017年乃东区商务局政府性基金预算支出表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1925"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887" w:type="dxa"/>
            <w:shd w:val="clear"/>
            <w:vAlign w:val="center"/>
          </w:tcPr>
          <w:p>
            <w:pPr>
              <w:rPr>
                <w:rFonts w:hint="eastAsia" w:ascii="宋体" w:hAnsi="宋体" w:eastAsia="宋体" w:cs="宋体"/>
                <w:i w:val="0"/>
                <w:color w:val="000000"/>
                <w:sz w:val="18"/>
                <w:szCs w:val="18"/>
                <w:u w:val="none"/>
              </w:rPr>
            </w:pPr>
          </w:p>
        </w:tc>
        <w:tc>
          <w:tcPr>
            <w:tcW w:w="1130" w:type="dxa"/>
            <w:shd w:val="clear"/>
            <w:vAlign w:val="center"/>
          </w:tcPr>
          <w:p>
            <w:pPr>
              <w:rPr>
                <w:rFonts w:hint="eastAsia" w:ascii="宋体" w:hAnsi="宋体" w:eastAsia="宋体" w:cs="宋体"/>
                <w:i w:val="0"/>
                <w:color w:val="000000"/>
                <w:sz w:val="18"/>
                <w:szCs w:val="18"/>
                <w:u w:val="none"/>
              </w:rPr>
            </w:pPr>
          </w:p>
        </w:tc>
        <w:tc>
          <w:tcPr>
            <w:tcW w:w="1131" w:type="dxa"/>
            <w:shd w:val="clear"/>
            <w:vAlign w:val="center"/>
          </w:tcPr>
          <w:p>
            <w:pPr>
              <w:rPr>
                <w:rFonts w:hint="eastAsia" w:ascii="宋体" w:hAnsi="宋体" w:eastAsia="宋体" w:cs="宋体"/>
                <w:i w:val="0"/>
                <w:color w:val="000000"/>
                <w:sz w:val="18"/>
                <w:szCs w:val="18"/>
                <w:u w:val="none"/>
              </w:rPr>
            </w:pPr>
          </w:p>
        </w:tc>
        <w:tc>
          <w:tcPr>
            <w:tcW w:w="226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8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1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339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trPr>
        <w:tc>
          <w:tcPr>
            <w:tcW w:w="192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88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381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45" w:hRule="atLeast"/>
        </w:trPr>
        <w:tc>
          <w:tcPr>
            <w:tcW w:w="8336"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color w:val="000000"/>
                <w:sz w:val="36"/>
                <w:szCs w:val="36"/>
                <w:u w:val="none"/>
              </w:rPr>
            </w:pPr>
            <w:r>
              <w:rPr>
                <w:rFonts w:hint="eastAsia" w:ascii="宋体" w:hAnsi="宋体" w:eastAsia="宋体" w:cs="宋体"/>
                <w:i w:val="0"/>
                <w:color w:val="000000"/>
                <w:kern w:val="0"/>
                <w:sz w:val="21"/>
                <w:szCs w:val="21"/>
                <w:u w:val="none"/>
                <w:lang w:val="en-US" w:eastAsia="zh-CN" w:bidi="ar"/>
              </w:rPr>
              <w:t>注：乃东区商务局2017年没有使用政府性基金安排的支出，故本表无数据</w:t>
            </w:r>
            <w:r>
              <w:rPr>
                <w:rFonts w:hint="eastAsia" w:ascii="方正小标宋简体" w:hAnsi="方正小标宋简体" w:eastAsia="方正小标宋简体" w:cs="方正小标宋简体"/>
                <w:i w:val="0"/>
                <w:color w:val="000000"/>
                <w:kern w:val="0"/>
                <w:sz w:val="36"/>
                <w:szCs w:val="36"/>
                <w:u w:val="none"/>
                <w:lang w:val="en-US" w:eastAsia="zh-CN" w:bidi="ar"/>
              </w:rPr>
              <w:t>。</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85"/>
        <w:gridCol w:w="2411"/>
        <w:gridCol w:w="1870"/>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190" w:type="dxa"/>
            <w:gridSpan w:val="4"/>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385" w:type="dxa"/>
            <w:shd w:val="clear"/>
            <w:vAlign w:val="center"/>
          </w:tcPr>
          <w:p>
            <w:pPr>
              <w:jc w:val="left"/>
              <w:rPr>
                <w:rFonts w:hint="eastAsia" w:ascii="宋体" w:hAnsi="宋体" w:eastAsia="宋体" w:cs="宋体"/>
                <w:i w:val="0"/>
                <w:color w:val="000000"/>
                <w:sz w:val="21"/>
                <w:szCs w:val="21"/>
                <w:u w:val="none"/>
              </w:rPr>
            </w:pPr>
          </w:p>
        </w:tc>
        <w:tc>
          <w:tcPr>
            <w:tcW w:w="2411" w:type="dxa"/>
            <w:shd w:val="clear"/>
            <w:vAlign w:val="bottom"/>
          </w:tcPr>
          <w:p>
            <w:pPr>
              <w:rPr>
                <w:rFonts w:hint="eastAsia" w:ascii="宋体" w:hAnsi="宋体" w:eastAsia="宋体" w:cs="宋体"/>
                <w:i w:val="0"/>
                <w:color w:val="000000"/>
                <w:sz w:val="18"/>
                <w:szCs w:val="18"/>
                <w:u w:val="none"/>
              </w:rPr>
            </w:pPr>
          </w:p>
        </w:tc>
        <w:tc>
          <w:tcPr>
            <w:tcW w:w="1870" w:type="dxa"/>
            <w:shd w:val="clear"/>
            <w:vAlign w:val="bottom"/>
          </w:tcPr>
          <w:p>
            <w:pPr>
              <w:rPr>
                <w:rFonts w:hint="eastAsia" w:ascii="宋体" w:hAnsi="宋体" w:eastAsia="宋体" w:cs="宋体"/>
                <w:i w:val="0"/>
                <w:color w:val="000000"/>
                <w:sz w:val="18"/>
                <w:szCs w:val="18"/>
                <w:u w:val="none"/>
              </w:rPr>
            </w:pPr>
          </w:p>
        </w:tc>
        <w:tc>
          <w:tcPr>
            <w:tcW w:w="1524"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79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3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1" w:hRule="atLeast"/>
        </w:trPr>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4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65"/>
        <w:gridCol w:w="1945"/>
        <w:gridCol w:w="886"/>
        <w:gridCol w:w="461"/>
        <w:gridCol w:w="1084"/>
        <w:gridCol w:w="620"/>
        <w:gridCol w:w="453"/>
        <w:gridCol w:w="461"/>
        <w:gridCol w:w="413"/>
        <w:gridCol w:w="398"/>
        <w:gridCol w:w="366"/>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8336" w:type="dxa"/>
            <w:gridSpan w:val="12"/>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1945" w:type="dxa"/>
            <w:shd w:val="clear"/>
            <w:vAlign w:val="bottom"/>
          </w:tcPr>
          <w:p>
            <w:pPr>
              <w:rPr>
                <w:rFonts w:hint="eastAsia" w:ascii="宋体" w:hAnsi="宋体" w:eastAsia="宋体" w:cs="宋体"/>
                <w:i w:val="0"/>
                <w:color w:val="000000"/>
                <w:sz w:val="18"/>
                <w:szCs w:val="18"/>
                <w:u w:val="none"/>
              </w:rPr>
            </w:pPr>
          </w:p>
        </w:tc>
        <w:tc>
          <w:tcPr>
            <w:tcW w:w="886"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1084" w:type="dxa"/>
            <w:shd w:val="clear"/>
            <w:vAlign w:val="bottom"/>
          </w:tcPr>
          <w:p>
            <w:pPr>
              <w:rPr>
                <w:rFonts w:hint="eastAsia" w:ascii="宋体" w:hAnsi="宋体" w:eastAsia="宋体" w:cs="宋体"/>
                <w:i w:val="0"/>
                <w:color w:val="000000"/>
                <w:sz w:val="18"/>
                <w:szCs w:val="18"/>
                <w:u w:val="none"/>
              </w:rPr>
            </w:pPr>
          </w:p>
        </w:tc>
        <w:tc>
          <w:tcPr>
            <w:tcW w:w="620" w:type="dxa"/>
            <w:shd w:val="clear"/>
            <w:vAlign w:val="bottom"/>
          </w:tcPr>
          <w:p>
            <w:pPr>
              <w:rPr>
                <w:rFonts w:hint="eastAsia" w:ascii="宋体" w:hAnsi="宋体" w:eastAsia="宋体" w:cs="宋体"/>
                <w:i w:val="0"/>
                <w:color w:val="000000"/>
                <w:sz w:val="18"/>
                <w:szCs w:val="18"/>
                <w:u w:val="none"/>
              </w:rPr>
            </w:pPr>
          </w:p>
        </w:tc>
        <w:tc>
          <w:tcPr>
            <w:tcW w:w="453" w:type="dxa"/>
            <w:shd w:val="clear"/>
            <w:vAlign w:val="bottom"/>
          </w:tcPr>
          <w:p>
            <w:pPr>
              <w:rPr>
                <w:rFonts w:hint="eastAsia" w:ascii="宋体" w:hAnsi="宋体" w:eastAsia="宋体" w:cs="宋体"/>
                <w:i w:val="0"/>
                <w:color w:val="000000"/>
                <w:sz w:val="18"/>
                <w:szCs w:val="18"/>
                <w:u w:val="none"/>
              </w:rPr>
            </w:pPr>
          </w:p>
        </w:tc>
        <w:tc>
          <w:tcPr>
            <w:tcW w:w="461" w:type="dxa"/>
            <w:shd w:val="clear"/>
            <w:vAlign w:val="bottom"/>
          </w:tcPr>
          <w:p>
            <w:pPr>
              <w:rPr>
                <w:rFonts w:hint="eastAsia" w:ascii="宋体" w:hAnsi="宋体" w:eastAsia="宋体" w:cs="宋体"/>
                <w:i w:val="0"/>
                <w:color w:val="000000"/>
                <w:sz w:val="18"/>
                <w:szCs w:val="18"/>
                <w:u w:val="none"/>
              </w:rPr>
            </w:pPr>
          </w:p>
        </w:tc>
        <w:tc>
          <w:tcPr>
            <w:tcW w:w="413" w:type="dxa"/>
            <w:shd w:val="clear"/>
            <w:vAlign w:val="bottom"/>
          </w:tcPr>
          <w:p>
            <w:pPr>
              <w:rPr>
                <w:rFonts w:hint="eastAsia" w:ascii="宋体" w:hAnsi="宋体" w:eastAsia="宋体" w:cs="宋体"/>
                <w:i w:val="0"/>
                <w:color w:val="000000"/>
                <w:sz w:val="18"/>
                <w:szCs w:val="18"/>
                <w:u w:val="none"/>
              </w:rPr>
            </w:pPr>
          </w:p>
        </w:tc>
        <w:tc>
          <w:tcPr>
            <w:tcW w:w="398" w:type="dxa"/>
            <w:shd w:val="clear"/>
            <w:vAlign w:val="bottom"/>
          </w:tcPr>
          <w:p>
            <w:pPr>
              <w:rPr>
                <w:rFonts w:hint="eastAsia" w:ascii="宋体" w:hAnsi="宋体" w:eastAsia="宋体" w:cs="宋体"/>
                <w:i w:val="0"/>
                <w:color w:val="000000"/>
                <w:sz w:val="18"/>
                <w:szCs w:val="18"/>
                <w:u w:val="none"/>
              </w:rPr>
            </w:pPr>
          </w:p>
        </w:tc>
        <w:tc>
          <w:tcPr>
            <w:tcW w:w="85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20" w:hRule="atLeast"/>
        </w:trPr>
        <w:tc>
          <w:tcPr>
            <w:tcW w:w="27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183.4</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2011301</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2011308</w:t>
            </w: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招商引资</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6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9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1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183.4</w:t>
            </w: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183.4</w:t>
            </w:r>
          </w:p>
        </w:tc>
        <w:tc>
          <w:tcPr>
            <w:tcW w:w="6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6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6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8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tbl>
      <w:tblP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2"/>
        <w:gridCol w:w="2444"/>
        <w:gridCol w:w="1033"/>
        <w:gridCol w:w="960"/>
        <w:gridCol w:w="581"/>
        <w:gridCol w:w="863"/>
        <w:gridCol w:w="759"/>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5" w:hRule="atLeast"/>
        </w:trPr>
        <w:tc>
          <w:tcPr>
            <w:tcW w:w="8336" w:type="dxa"/>
            <w:gridSpan w:val="8"/>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2017年乃东区商务局部门支出总表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832" w:type="dxa"/>
            <w:shd w:val="clear"/>
            <w:vAlign w:val="center"/>
          </w:tcPr>
          <w:p>
            <w:pPr>
              <w:jc w:val="left"/>
              <w:rPr>
                <w:rFonts w:hint="eastAsia" w:ascii="宋体" w:hAnsi="宋体" w:eastAsia="宋体" w:cs="宋体"/>
                <w:i w:val="0"/>
                <w:color w:val="000000"/>
                <w:sz w:val="21"/>
                <w:szCs w:val="21"/>
                <w:u w:val="none"/>
              </w:rPr>
            </w:pPr>
          </w:p>
        </w:tc>
        <w:tc>
          <w:tcPr>
            <w:tcW w:w="2444" w:type="dxa"/>
            <w:shd w:val="clear"/>
            <w:vAlign w:val="center"/>
          </w:tcPr>
          <w:p>
            <w:pPr>
              <w:rPr>
                <w:rFonts w:hint="eastAsia" w:ascii="宋体" w:hAnsi="宋体" w:eastAsia="宋体" w:cs="宋体"/>
                <w:i w:val="0"/>
                <w:color w:val="000000"/>
                <w:sz w:val="22"/>
                <w:szCs w:val="22"/>
                <w:u w:val="none"/>
              </w:rPr>
            </w:pPr>
          </w:p>
        </w:tc>
        <w:tc>
          <w:tcPr>
            <w:tcW w:w="1033" w:type="dxa"/>
            <w:shd w:val="clear"/>
            <w:vAlign w:val="center"/>
          </w:tcPr>
          <w:p>
            <w:pPr>
              <w:rPr>
                <w:rFonts w:hint="eastAsia" w:ascii="宋体" w:hAnsi="宋体" w:eastAsia="宋体" w:cs="宋体"/>
                <w:i w:val="0"/>
                <w:color w:val="000000"/>
                <w:sz w:val="22"/>
                <w:szCs w:val="22"/>
                <w:u w:val="none"/>
              </w:rPr>
            </w:pPr>
          </w:p>
        </w:tc>
        <w:tc>
          <w:tcPr>
            <w:tcW w:w="960" w:type="dxa"/>
            <w:shd w:val="clear"/>
            <w:vAlign w:val="center"/>
          </w:tcPr>
          <w:p>
            <w:pPr>
              <w:rPr>
                <w:rFonts w:hint="eastAsia" w:ascii="宋体" w:hAnsi="宋体" w:eastAsia="宋体" w:cs="宋体"/>
                <w:i w:val="0"/>
                <w:color w:val="000000"/>
                <w:sz w:val="22"/>
                <w:szCs w:val="22"/>
                <w:u w:val="none"/>
              </w:rPr>
            </w:pPr>
          </w:p>
        </w:tc>
        <w:tc>
          <w:tcPr>
            <w:tcW w:w="581" w:type="dxa"/>
            <w:shd w:val="clear"/>
            <w:vAlign w:val="center"/>
          </w:tcPr>
          <w:p>
            <w:pPr>
              <w:rPr>
                <w:rFonts w:hint="eastAsia" w:ascii="宋体" w:hAnsi="宋体" w:eastAsia="宋体" w:cs="宋体"/>
                <w:i w:val="0"/>
                <w:color w:val="000000"/>
                <w:sz w:val="22"/>
                <w:szCs w:val="22"/>
                <w:u w:val="none"/>
              </w:rPr>
            </w:pPr>
          </w:p>
        </w:tc>
        <w:tc>
          <w:tcPr>
            <w:tcW w:w="863" w:type="dxa"/>
            <w:shd w:val="clear"/>
            <w:vAlign w:val="center"/>
          </w:tcPr>
          <w:p>
            <w:pPr>
              <w:rPr>
                <w:rFonts w:hint="eastAsia" w:ascii="宋体" w:hAnsi="宋体" w:eastAsia="宋体" w:cs="宋体"/>
                <w:i w:val="0"/>
                <w:color w:val="000000"/>
                <w:sz w:val="22"/>
                <w:szCs w:val="22"/>
                <w:u w:val="none"/>
              </w:rPr>
            </w:pPr>
          </w:p>
        </w:tc>
        <w:tc>
          <w:tcPr>
            <w:tcW w:w="1623"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03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58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5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6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3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2011301</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163.4</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2011308</w:t>
            </w: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招商引资</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44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jc w:val="righ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95"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0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183.40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20.00 </w:t>
            </w:r>
          </w:p>
        </w:tc>
        <w:tc>
          <w:tcPr>
            <w:tcW w:w="8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w:t>
            </w:r>
          </w:p>
        </w:tc>
      </w:tr>
    </w:tbl>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第三部分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乃东区商务局（经济合作局）2017年</w:t>
      </w:r>
      <w:r>
        <w:rPr>
          <w:rFonts w:hint="eastAsia" w:ascii="仿宋_GB2312" w:hAnsi="仿宋_GB2312" w:eastAsia="仿宋_GB2312" w:cs="仿宋_GB2312"/>
          <w:color w:val="000000" w:themeColor="text1"/>
          <w:sz w:val="32"/>
          <w:szCs w:val="32"/>
          <w14:textFill>
            <w14:solidFill>
              <w14:schemeClr w14:val="tx1"/>
            </w14:solidFill>
          </w14:textFill>
        </w:rPr>
        <w:t>度预算数据分析</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乃东区商务局（经济合作局）2017年</w:t>
      </w:r>
      <w:r>
        <w:rPr>
          <w:rFonts w:hint="eastAsia" w:ascii="仿宋_GB2312" w:hAnsi="仿宋_GB2312" w:eastAsia="仿宋_GB2312" w:cs="仿宋_GB2312"/>
          <w:color w:val="000000" w:themeColor="text1"/>
          <w:sz w:val="32"/>
          <w:szCs w:val="32"/>
          <w14:textFill>
            <w14:solidFill>
              <w14:schemeClr w14:val="tx1"/>
            </w14:solidFill>
          </w14:textFill>
        </w:rPr>
        <w:t>财政拨款收支总预算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万元。收入全部为一般公共预算拨款，无政府性基金预算拨款，包括：当年财政拨款收入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万元、上年结转0万元；支出包括：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一般公共服务支出183.4万元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度一般公共预算当年财政拨款情况说明</w:t>
      </w:r>
    </w:p>
    <w:p>
      <w:pPr>
        <w:pStyle w:val="4"/>
        <w:numPr>
          <w:ilvl w:val="0"/>
          <w:numId w:val="4"/>
        </w:numPr>
        <w:shd w:val="clear" w:color="auto" w:fill="FFFFFF"/>
        <w:spacing w:before="0" w:beforeAutospacing="0" w:after="0" w:afterAutospacing="0"/>
        <w:ind w:left="64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一般公共预算当年财政拨款规模情况</w:t>
      </w:r>
    </w:p>
    <w:p>
      <w:pPr>
        <w:pStyle w:val="4"/>
        <w:shd w:val="clear" w:color="auto" w:fill="FFFFFF"/>
        <w:spacing w:before="0" w:beforeAutospacing="0" w:after="0" w:afterAutospacing="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度财政拨款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146.68</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项目支出20万元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（二）一般公共预算当年财政拨款结构情况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度一般公共预算拨款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一般公共服务183.4</w:t>
      </w:r>
      <w:r>
        <w:rPr>
          <w:rFonts w:hint="eastAsia" w:ascii="仿宋_GB2312" w:hAnsi="仿宋_GB2312" w:eastAsia="仿宋_GB2312" w:cs="仿宋_GB2312"/>
          <w:color w:val="000000" w:themeColor="text1"/>
          <w:sz w:val="32"/>
          <w:szCs w:val="32"/>
          <w14:textFill>
            <w14:solidFill>
              <w14:schemeClr w14:val="tx1"/>
            </w14:solidFill>
          </w14:textFill>
        </w:rPr>
        <w:t>万元，占总比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（三）一般公共预算当年财政拨款具体使用情况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3一般公共服务支出183.4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2011301行政运行</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2011308招商引资支出20万元。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度一般公共预算基本支出情况说明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163.4</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146.68</w:t>
      </w:r>
      <w:r>
        <w:rPr>
          <w:rFonts w:hint="eastAsia" w:ascii="仿宋_GB2312" w:hAnsi="仿宋_GB2312" w:eastAsia="仿宋_GB2312" w:cs="仿宋_GB2312"/>
          <w:color w:val="000000" w:themeColor="text1"/>
          <w:sz w:val="32"/>
          <w:szCs w:val="32"/>
          <w14:textFill>
            <w14:solidFill>
              <w14:schemeClr w14:val="tx1"/>
            </w14:solidFill>
          </w14:textFill>
        </w:rPr>
        <w:t>万元包括：基本工资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29.24</w:t>
      </w:r>
      <w:r>
        <w:rPr>
          <w:rFonts w:hint="eastAsia" w:ascii="仿宋_GB2312" w:hAnsi="仿宋_GB2312" w:eastAsia="仿宋_GB2312" w:cs="仿宋_GB2312"/>
          <w:color w:val="000000" w:themeColor="text1"/>
          <w:sz w:val="32"/>
          <w:szCs w:val="32"/>
          <w14:textFill>
            <w14:solidFill>
              <w14:schemeClr w14:val="tx1"/>
            </w14:solidFill>
          </w14:textFill>
        </w:rPr>
        <w:t>万元，津贴补贴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105.23</w:t>
      </w:r>
      <w:r>
        <w:rPr>
          <w:rFonts w:hint="eastAsia" w:ascii="仿宋_GB2312" w:hAnsi="仿宋_GB2312" w:eastAsia="仿宋_GB2312" w:cs="仿宋_GB2312"/>
          <w:color w:val="000000" w:themeColor="text1"/>
          <w:sz w:val="32"/>
          <w:szCs w:val="32"/>
          <w14:textFill>
            <w14:solidFill>
              <w14:schemeClr w14:val="tx1"/>
            </w14:solidFill>
          </w14:textFill>
        </w:rPr>
        <w:t>万元，奖金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10.11</w:t>
      </w:r>
      <w:r>
        <w:rPr>
          <w:rFonts w:hint="eastAsia" w:ascii="仿宋_GB2312" w:hAnsi="仿宋_GB2312" w:eastAsia="仿宋_GB2312" w:cs="仿宋_GB2312"/>
          <w:color w:val="000000" w:themeColor="text1"/>
          <w:sz w:val="32"/>
          <w:szCs w:val="32"/>
          <w14:textFill>
            <w14:solidFill>
              <w14:schemeClr w14:val="tx1"/>
            </w14:solidFill>
          </w14:textFill>
        </w:rPr>
        <w:t>万元，其他工资福利支出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16.72</w:t>
      </w:r>
      <w:r>
        <w:rPr>
          <w:rFonts w:hint="eastAsia" w:ascii="仿宋_GB2312" w:hAnsi="仿宋_GB2312" w:eastAsia="仿宋_GB2312" w:cs="仿宋_GB2312"/>
          <w:color w:val="000000" w:themeColor="text1"/>
          <w:sz w:val="32"/>
          <w:szCs w:val="32"/>
          <w14:textFill>
            <w14:solidFill>
              <w14:schemeClr w14:val="tx1"/>
            </w14:solidFill>
          </w14:textFill>
        </w:rPr>
        <w:t>万元包括：办公费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3.07</w:t>
      </w:r>
      <w:r>
        <w:rPr>
          <w:rFonts w:hint="eastAsia" w:ascii="仿宋_GB2312" w:hAnsi="仿宋_GB2312" w:eastAsia="仿宋_GB2312" w:cs="仿宋_GB2312"/>
          <w:color w:val="000000" w:themeColor="text1"/>
          <w:sz w:val="32"/>
          <w:szCs w:val="32"/>
          <w14:textFill>
            <w14:solidFill>
              <w14:schemeClr w14:val="tx1"/>
            </w14:solidFill>
          </w14:textFill>
        </w:rPr>
        <w:t>万元，印刷费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万元，水费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0.69</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2.88</w:t>
      </w:r>
      <w:r>
        <w:rPr>
          <w:rFonts w:hint="eastAsia" w:ascii="仿宋_GB2312" w:hAnsi="仿宋_GB2312" w:eastAsia="仿宋_GB2312" w:cs="仿宋_GB2312"/>
          <w:color w:val="000000" w:themeColor="text1"/>
          <w:sz w:val="32"/>
          <w:szCs w:val="32"/>
          <w14:textFill>
            <w14:solidFill>
              <w14:schemeClr w14:val="tx1"/>
            </w14:solidFill>
          </w14:textFill>
        </w:rPr>
        <w:t xml:space="preserve">万元，公务用车运行维护费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其他商品和服务支出7.86</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“三公”经费预算情况说明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2017年三公经费预算合计1.49万元，同比减少0.34万元，下降18.47%。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减少的原因主要是财政部门把严格控制三公经费作为一项重要工作，认真贯彻落实中央、省、市、区关于厉行节约的各项要求，进一步从严控制“三公经费”开支。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一是严把预算关，实行源头控制，严格执行中央八项规定，在预算安排中对三公经费进行压缩，按照“三公经费”只减不增的原则控制一般性支出。 </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二是严把支出关，实现动态管理，是注重宣传，提高贯彻落实自觉性，在日常财政监督监管中注重对预算单位的业务辅导和政策宣传，将三公经费管理作为各单位的重要工作来抓，明确职责完善制度。 </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度政府性基金预算支出情况说明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乃东区商务局（经济合作局）2017年</w:t>
      </w:r>
      <w:r>
        <w:rPr>
          <w:rFonts w:hint="eastAsia" w:ascii="仿宋_GB2312" w:hAnsi="仿宋_GB2312" w:eastAsia="仿宋_GB2312" w:cs="仿宋_GB2312"/>
          <w:color w:val="000000" w:themeColor="text1"/>
          <w:sz w:val="32"/>
          <w:szCs w:val="32"/>
          <w14:textFill>
            <w14:solidFill>
              <w14:schemeClr w14:val="tx1"/>
            </w14:solidFill>
          </w14:textFill>
        </w:rPr>
        <w:t>没有使用政府性基金安排的支出，故无政府性基金预算。</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度收支预算情况总体说明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度收入预算情况说明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本年度财政下达预算指标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元，其中基本支出为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163.4</w:t>
      </w:r>
      <w:r>
        <w:rPr>
          <w:rFonts w:hint="eastAsia" w:ascii="仿宋_GB2312" w:hAnsi="仿宋_GB2312" w:eastAsia="仿宋_GB2312" w:cs="仿宋_GB2312"/>
          <w:color w:val="000000" w:themeColor="text1"/>
          <w:sz w:val="32"/>
          <w:szCs w:val="32"/>
          <w14:textFill>
            <w14:solidFill>
              <w14:schemeClr w14:val="tx1"/>
            </w14:solidFill>
          </w14:textFill>
        </w:rPr>
        <w:t>万元，项目支出为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度支出预算情况说明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度支出总计为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一般公共服务支出183.4万元</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九、其他重要事项的情况说明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（一）机关运行经费安排使用情况说明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2017年商务局机关运行经费预算为5.7万元，与2016年8.4万元相比减少2.7万元，减少32.14%。</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减少原因为：2017年我区总财力吃紧，机关运行经费按照所需经费的60%预算。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（二）政府采购情况说明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我单位2017年度无政府采购预算。</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）预算绩效情况说明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2017年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我区未开展预算绩效工作。</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p>
    <w:p>
      <w:pPr>
        <w:pStyle w:val="4"/>
        <w:shd w:val="clear" w:color="auto" w:fill="FFFFFF"/>
        <w:spacing w:before="0" w:beforeAutospacing="0" w:after="0" w:afterAutospacing="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第四部分</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名词解释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1、财政拨款收入：指同级财政当年拨付的资金。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2、上级补助收入：指事业单位从主管部门和上级单位取得的非财政补助收入。</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3、基本支出：是指行政事业单位为保障其机构正常运转、完成日常工作任务的支出，其内容包括工资福利支出、对个人和家庭的补助支出、商品和服务支出三部分。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5、上年结转和结余：指以前年度支出预算因客观条件变化未执行完毕、结转到本年度按有关规定继续使用的资金，既包括财政拨款结转和结余，也包括事业收入、经营收入、其他收入的结转和结余。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三公”经费：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3FD65"/>
    <w:multiLevelType w:val="singleLevel"/>
    <w:tmpl w:val="AF83FD65"/>
    <w:lvl w:ilvl="0" w:tentative="0">
      <w:start w:val="1"/>
      <w:numFmt w:val="chineseCounting"/>
      <w:suff w:val="nothing"/>
      <w:lvlText w:val="（%1）"/>
      <w:lvlJc w:val="left"/>
      <w:pPr>
        <w:ind w:left="640" w:leftChars="0" w:firstLine="0" w:firstLineChars="0"/>
      </w:pPr>
      <w:rPr>
        <w:rFonts w:hint="eastAsia"/>
      </w:rPr>
    </w:lvl>
  </w:abstractNum>
  <w:abstractNum w:abstractNumId="1">
    <w:nsid w:val="00000007"/>
    <w:multiLevelType w:val="singleLevel"/>
    <w:tmpl w:val="00000007"/>
    <w:lvl w:ilvl="0" w:tentative="0">
      <w:start w:val="1"/>
      <w:numFmt w:val="chineseCounting"/>
      <w:suff w:val="nothing"/>
      <w:lvlText w:val="%1、"/>
      <w:lvlJc w:val="left"/>
    </w:lvl>
  </w:abstractNum>
  <w:abstractNum w:abstractNumId="2">
    <w:nsid w:val="00000009"/>
    <w:multiLevelType w:val="singleLevel"/>
    <w:tmpl w:val="00000009"/>
    <w:lvl w:ilvl="0" w:tentative="0">
      <w:start w:val="1"/>
      <w:numFmt w:val="chineseCounting"/>
      <w:suff w:val="nothing"/>
      <w:lvlText w:val="（%1）"/>
      <w:lvlJc w:val="left"/>
    </w:lvl>
  </w:abstractNum>
  <w:abstractNum w:abstractNumId="3">
    <w:nsid w:val="0000000A"/>
    <w:multiLevelType w:val="singleLevel"/>
    <w:tmpl w:val="0000000A"/>
    <w:lvl w:ilvl="0" w:tentative="0">
      <w:start w:val="14"/>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96"/>
    <w:rsid w:val="00304EB1"/>
    <w:rsid w:val="005C0F96"/>
    <w:rsid w:val="1E8E3BE4"/>
    <w:rsid w:val="1F0D5063"/>
    <w:rsid w:val="23672AA3"/>
    <w:rsid w:val="25371F1B"/>
    <w:rsid w:val="2F942079"/>
    <w:rsid w:val="43E10E38"/>
    <w:rsid w:val="465142F7"/>
    <w:rsid w:val="55671262"/>
    <w:rsid w:val="6262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font2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b/>
      <w:color w:val="000000"/>
      <w:sz w:val="24"/>
      <w:szCs w:val="24"/>
      <w:u w:val="none"/>
    </w:rPr>
  </w:style>
  <w:style w:type="character" w:customStyle="1" w:styleId="13">
    <w:name w:val="font31"/>
    <w:basedOn w:val="5"/>
    <w:qFormat/>
    <w:uiPriority w:val="0"/>
    <w:rPr>
      <w:rFonts w:hint="eastAsia" w:ascii="宋体" w:hAnsi="宋体" w:eastAsia="宋体" w:cs="宋体"/>
      <w:color w:val="000000"/>
      <w:sz w:val="24"/>
      <w:szCs w:val="24"/>
      <w:u w:val="none"/>
    </w:rPr>
  </w:style>
  <w:style w:type="character" w:customStyle="1" w:styleId="14">
    <w:name w:val="font101"/>
    <w:basedOn w:val="5"/>
    <w:uiPriority w:val="0"/>
    <w:rPr>
      <w:rFonts w:hint="eastAsia" w:ascii="宋体" w:hAnsi="宋体" w:eastAsia="宋体" w:cs="宋体"/>
      <w:b/>
      <w:color w:val="000000"/>
      <w:sz w:val="24"/>
      <w:szCs w:val="24"/>
      <w:u w:val="none"/>
    </w:rPr>
  </w:style>
  <w:style w:type="character" w:customStyle="1" w:styleId="15">
    <w:name w:val="font0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3487</Characters>
  <Lines>29</Lines>
  <Paragraphs>8</Paragraphs>
  <TotalTime>0</TotalTime>
  <ScaleCrop>false</ScaleCrop>
  <LinksUpToDate>false</LinksUpToDate>
  <CharactersWithSpaces>4090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2018-12-13T09:24:00Z</dcterms:created>
  <dc:creator>Administrator</dc:creator>
  <cp:lastModifiedBy>壞亼呷κi！</cp:lastModifiedBy>
  <cp:lastPrinted>2018-12-19T03:50:02Z</cp:lastPrinted>
  <dcterms:modified xsi:type="dcterms:W3CDTF">2018-12-19T03:57:28Z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