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乃东区人民政府办公室</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乃东区人民政府办公室2017年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乃东区人民政府办公室2017年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napToGrid w:val="0"/>
        <w:spacing w:line="576" w:lineRule="exact"/>
        <w:ind w:firstLine="640"/>
        <w:jc w:val="both"/>
        <w:textAlignment w:val="baseline"/>
        <w:rPr>
          <w:rFonts w:eastAsia="仿宋_GB2312"/>
          <w:sz w:val="32"/>
        </w:rPr>
      </w:pPr>
      <w:r>
        <w:rPr>
          <w:rFonts w:eastAsia="仿宋_GB2312"/>
          <w:sz w:val="32"/>
        </w:rPr>
        <w:t>根据《中共山南市委办公室 山南市人民政府办公室关于印发〈乃东区政府职能转变和机构改革方案〉的通知》（山委办〔2016〕74号）精神，设立乃东区人民政府办公室（政府法制办公室、信访局、外事侨务办公室），正科级，为乃东区人民政府工作部门。</w:t>
      </w:r>
    </w:p>
    <w:p>
      <w:pPr>
        <w:snapToGrid w:val="0"/>
        <w:spacing w:line="576" w:lineRule="exact"/>
        <w:ind w:firstLine="640"/>
        <w:jc w:val="both"/>
        <w:textAlignment w:val="baseline"/>
        <w:rPr>
          <w:rFonts w:eastAsia="黑体"/>
          <w:sz w:val="32"/>
        </w:rPr>
      </w:pPr>
      <w:r>
        <w:rPr>
          <w:rFonts w:eastAsia="黑体"/>
          <w:sz w:val="32"/>
        </w:rPr>
        <w:t>一、职责调整</w:t>
      </w:r>
    </w:p>
    <w:p>
      <w:pPr>
        <w:spacing w:line="576" w:lineRule="exact"/>
        <w:ind w:firstLine="640"/>
        <w:jc w:val="both"/>
        <w:rPr>
          <w:rFonts w:eastAsia="仿宋_GB2312"/>
          <w:sz w:val="32"/>
        </w:rPr>
      </w:pPr>
      <w:r>
        <w:rPr>
          <w:rFonts w:eastAsia="仿宋_GB2312"/>
          <w:sz w:val="32"/>
        </w:rPr>
        <w:t>（一）取消已由国务院、自治区、市人民政府公布取消的行政审批事项。</w:t>
      </w:r>
    </w:p>
    <w:p>
      <w:pPr>
        <w:spacing w:line="576" w:lineRule="exact"/>
        <w:ind w:firstLine="640"/>
        <w:jc w:val="both"/>
        <w:rPr>
          <w:rFonts w:eastAsia="仿宋_GB2312"/>
          <w:sz w:val="32"/>
        </w:rPr>
      </w:pPr>
      <w:r>
        <w:rPr>
          <w:rFonts w:eastAsia="仿宋_GB2312"/>
          <w:sz w:val="32"/>
        </w:rPr>
        <w:t>（二）增加外事侨务工作职责。</w:t>
      </w:r>
    </w:p>
    <w:p>
      <w:pPr>
        <w:spacing w:line="576" w:lineRule="exact"/>
        <w:ind w:firstLine="640"/>
        <w:jc w:val="both"/>
        <w:rPr>
          <w:rFonts w:eastAsia="黑体"/>
          <w:sz w:val="32"/>
        </w:rPr>
      </w:pPr>
      <w:r>
        <w:rPr>
          <w:rFonts w:eastAsia="黑体"/>
          <w:sz w:val="32"/>
        </w:rPr>
        <w:t>二、主要职责</w:t>
      </w:r>
    </w:p>
    <w:p>
      <w:pPr>
        <w:numPr>
          <w:ilvl w:val="0"/>
          <w:numId w:val="1"/>
        </w:numPr>
        <w:spacing w:line="576" w:lineRule="exact"/>
        <w:ind w:firstLine="640"/>
        <w:jc w:val="both"/>
        <w:rPr>
          <w:rFonts w:eastAsia="仿宋_GB2312"/>
          <w:color w:val="000000"/>
          <w:sz w:val="32"/>
        </w:rPr>
      </w:pPr>
      <w:r>
        <w:rPr>
          <w:rFonts w:eastAsia="仿宋_GB2312"/>
          <w:color w:val="000000"/>
          <w:sz w:val="32"/>
        </w:rPr>
        <w:t>负责全区人民政府各类会议和区政府领导同志重要活动组织、协调工作，协助区政府领导同志组织实施会议决定事项。</w:t>
      </w:r>
    </w:p>
    <w:p>
      <w:pPr>
        <w:numPr>
          <w:ilvl w:val="0"/>
          <w:numId w:val="1"/>
        </w:numPr>
        <w:spacing w:line="576" w:lineRule="exact"/>
        <w:ind w:firstLine="640"/>
        <w:jc w:val="both"/>
        <w:rPr>
          <w:rFonts w:eastAsia="仿宋_GB2312"/>
          <w:color w:val="000000"/>
          <w:sz w:val="32"/>
        </w:rPr>
      </w:pPr>
      <w:r>
        <w:rPr>
          <w:rFonts w:eastAsia="仿宋_GB2312"/>
          <w:color w:val="000000"/>
          <w:sz w:val="32"/>
        </w:rPr>
        <w:t>负责组织起草或审核以区政府、政府办公室名义发布的公文，领导讲话和领导交办的其它文字工作。</w:t>
      </w:r>
    </w:p>
    <w:p>
      <w:pPr>
        <w:numPr>
          <w:ilvl w:val="0"/>
          <w:numId w:val="1"/>
        </w:numPr>
        <w:spacing w:line="576" w:lineRule="exact"/>
        <w:ind w:firstLine="640"/>
        <w:jc w:val="both"/>
        <w:rPr>
          <w:rFonts w:eastAsia="仿宋_GB2312"/>
          <w:color w:val="000000"/>
          <w:sz w:val="32"/>
        </w:rPr>
      </w:pPr>
      <w:r>
        <w:rPr>
          <w:rFonts w:eastAsia="仿宋_GB2312"/>
          <w:color w:val="000000"/>
          <w:sz w:val="32"/>
        </w:rPr>
        <w:t>组织或参与全区改革开放和经济社会发展中重大问题的调查研究，并提出政策性建议和咨询意见。</w:t>
      </w:r>
    </w:p>
    <w:p>
      <w:pPr>
        <w:numPr>
          <w:ilvl w:val="0"/>
          <w:numId w:val="1"/>
        </w:numPr>
        <w:spacing w:line="576" w:lineRule="exact"/>
        <w:ind w:firstLine="640"/>
        <w:jc w:val="both"/>
        <w:rPr>
          <w:rFonts w:eastAsia="仿宋_GB2312"/>
          <w:color w:val="000000"/>
          <w:sz w:val="32"/>
        </w:rPr>
      </w:pPr>
      <w:r>
        <w:rPr>
          <w:rFonts w:eastAsia="仿宋_GB2312"/>
          <w:color w:val="000000"/>
          <w:sz w:val="32"/>
        </w:rPr>
        <w:t>研究政府各部门，各乡</w:t>
      </w:r>
      <w:r>
        <w:rPr>
          <w:rFonts w:hint="eastAsia" w:eastAsia="仿宋_GB2312"/>
          <w:color w:val="000000"/>
          <w:sz w:val="32"/>
        </w:rPr>
        <w:t>（</w:t>
      </w:r>
      <w:r>
        <w:rPr>
          <w:rFonts w:eastAsia="仿宋_GB2312"/>
          <w:color w:val="000000"/>
          <w:sz w:val="32"/>
        </w:rPr>
        <w:t>镇</w:t>
      </w:r>
      <w:r>
        <w:rPr>
          <w:rFonts w:hint="eastAsia" w:eastAsia="仿宋_GB2312"/>
          <w:color w:val="000000"/>
          <w:sz w:val="32"/>
        </w:rPr>
        <w:t>）</w:t>
      </w:r>
      <w:r>
        <w:rPr>
          <w:rFonts w:eastAsia="仿宋_GB2312"/>
          <w:color w:val="000000"/>
          <w:sz w:val="32"/>
        </w:rPr>
        <w:t>人民政府报来的请示政府领导的事项，提出审核意见报政府领导审批。</w:t>
      </w:r>
    </w:p>
    <w:p>
      <w:pPr>
        <w:numPr>
          <w:ilvl w:val="0"/>
          <w:numId w:val="1"/>
        </w:numPr>
        <w:spacing w:line="576" w:lineRule="exact"/>
        <w:ind w:firstLine="640"/>
        <w:jc w:val="both"/>
        <w:rPr>
          <w:rFonts w:eastAsia="仿宋_GB2312"/>
          <w:color w:val="000000"/>
          <w:sz w:val="32"/>
        </w:rPr>
      </w:pPr>
      <w:r>
        <w:rPr>
          <w:rFonts w:eastAsia="仿宋_GB2312"/>
          <w:color w:val="000000"/>
          <w:sz w:val="32"/>
        </w:rPr>
        <w:t>根据政府领导指示，对乡</w:t>
      </w:r>
      <w:r>
        <w:rPr>
          <w:rFonts w:eastAsia="仿宋_GB2312"/>
          <w:sz w:val="32"/>
        </w:rPr>
        <w:t>（</w:t>
      </w:r>
      <w:r>
        <w:rPr>
          <w:rFonts w:eastAsia="仿宋_GB2312"/>
          <w:color w:val="000000"/>
          <w:sz w:val="32"/>
        </w:rPr>
        <w:t>镇</w:t>
      </w:r>
      <w:r>
        <w:rPr>
          <w:rFonts w:eastAsia="仿宋_GB2312"/>
          <w:sz w:val="32"/>
        </w:rPr>
        <w:t>）</w:t>
      </w:r>
      <w:r>
        <w:rPr>
          <w:rFonts w:eastAsia="仿宋_GB2312"/>
          <w:color w:val="000000"/>
          <w:sz w:val="32"/>
        </w:rPr>
        <w:t>、区直各部门之间出现的争议提出处理意见，报政府领导决策。</w:t>
      </w:r>
    </w:p>
    <w:p>
      <w:pPr>
        <w:numPr>
          <w:ilvl w:val="0"/>
          <w:numId w:val="1"/>
        </w:numPr>
        <w:spacing w:line="576" w:lineRule="exact"/>
        <w:ind w:firstLine="640"/>
        <w:jc w:val="both"/>
        <w:rPr>
          <w:rFonts w:eastAsia="仿宋_GB2312"/>
          <w:color w:val="000000"/>
          <w:sz w:val="32"/>
        </w:rPr>
      </w:pPr>
      <w:r>
        <w:rPr>
          <w:rFonts w:eastAsia="仿宋_GB2312"/>
          <w:color w:val="000000"/>
          <w:sz w:val="32"/>
        </w:rPr>
        <w:t>督促检查政府各部门和各乡</w:t>
      </w:r>
      <w:r>
        <w:rPr>
          <w:rFonts w:eastAsia="仿宋_GB2312"/>
          <w:sz w:val="32"/>
        </w:rPr>
        <w:t>（</w:t>
      </w:r>
      <w:r>
        <w:rPr>
          <w:rFonts w:eastAsia="仿宋_GB2312"/>
          <w:color w:val="000000"/>
          <w:sz w:val="32"/>
        </w:rPr>
        <w:t>镇</w:t>
      </w:r>
      <w:r>
        <w:rPr>
          <w:rFonts w:eastAsia="仿宋_GB2312"/>
          <w:sz w:val="32"/>
        </w:rPr>
        <w:t>）</w:t>
      </w:r>
      <w:r>
        <w:rPr>
          <w:rFonts w:eastAsia="仿宋_GB2312"/>
          <w:color w:val="000000"/>
          <w:sz w:val="32"/>
        </w:rPr>
        <w:t>对</w:t>
      </w:r>
      <w:r>
        <w:rPr>
          <w:rFonts w:hint="eastAsia" w:eastAsia="仿宋_GB2312"/>
          <w:color w:val="000000"/>
          <w:sz w:val="32"/>
        </w:rPr>
        <w:t>市</w:t>
      </w:r>
      <w:r>
        <w:rPr>
          <w:rFonts w:eastAsia="仿宋_GB2312"/>
          <w:color w:val="000000"/>
          <w:sz w:val="32"/>
        </w:rPr>
        <w:t>委、</w:t>
      </w:r>
      <w:r>
        <w:rPr>
          <w:rFonts w:hint="eastAsia" w:eastAsia="仿宋_GB2312"/>
          <w:color w:val="000000"/>
          <w:sz w:val="32"/>
        </w:rPr>
        <w:t>市政府</w:t>
      </w:r>
      <w:r>
        <w:rPr>
          <w:rFonts w:eastAsia="仿宋_GB2312"/>
          <w:color w:val="000000"/>
          <w:sz w:val="32"/>
        </w:rPr>
        <w:t>以及区委、区政府重大决策、重要工作部署、领导批示的执行落实情况，并跟踪调研，及时向区政府领导报告。</w:t>
      </w:r>
    </w:p>
    <w:p>
      <w:pPr>
        <w:numPr>
          <w:ilvl w:val="0"/>
          <w:numId w:val="1"/>
        </w:numPr>
        <w:spacing w:line="576" w:lineRule="exact"/>
        <w:ind w:firstLine="640"/>
        <w:jc w:val="both"/>
        <w:rPr>
          <w:rFonts w:eastAsia="仿宋_GB2312"/>
          <w:color w:val="000000"/>
          <w:sz w:val="32"/>
        </w:rPr>
      </w:pPr>
      <w:r>
        <w:rPr>
          <w:rFonts w:eastAsia="仿宋_GB2312"/>
          <w:color w:val="000000"/>
          <w:sz w:val="32"/>
        </w:rPr>
        <w:t>负责人大代表提出的议案、意见、建议和提案的督办工作。</w:t>
      </w:r>
    </w:p>
    <w:p>
      <w:pPr>
        <w:numPr>
          <w:ilvl w:val="0"/>
          <w:numId w:val="1"/>
        </w:numPr>
        <w:spacing w:line="576" w:lineRule="exact"/>
        <w:ind w:firstLine="640"/>
        <w:jc w:val="both"/>
        <w:rPr>
          <w:rFonts w:eastAsia="仿宋_GB2312"/>
          <w:color w:val="000000"/>
          <w:sz w:val="32"/>
        </w:rPr>
      </w:pPr>
      <w:r>
        <w:rPr>
          <w:rFonts w:eastAsia="仿宋_GB2312"/>
          <w:color w:val="000000"/>
          <w:sz w:val="32"/>
        </w:rPr>
        <w:t>协助政府领导处理需由政府办公室直接处理的突发性事件和重大事故。</w:t>
      </w:r>
    </w:p>
    <w:p>
      <w:pPr>
        <w:numPr>
          <w:ilvl w:val="0"/>
          <w:numId w:val="1"/>
        </w:numPr>
        <w:spacing w:line="576" w:lineRule="exact"/>
        <w:ind w:firstLine="640"/>
        <w:jc w:val="both"/>
        <w:rPr>
          <w:rFonts w:eastAsia="仿宋_GB2312"/>
          <w:color w:val="000000"/>
          <w:sz w:val="32"/>
        </w:rPr>
      </w:pPr>
      <w:r>
        <w:rPr>
          <w:rFonts w:eastAsia="仿宋_GB2312"/>
          <w:color w:val="000000"/>
          <w:sz w:val="32"/>
        </w:rPr>
        <w:t>指导信访局处理群众来信，接待群众来访，及时向领导报告来信来访中提出的重要建议和反映的重大问题，办理领导交办的有关信访事项。</w:t>
      </w:r>
    </w:p>
    <w:p>
      <w:pPr>
        <w:numPr>
          <w:ilvl w:val="0"/>
          <w:numId w:val="1"/>
        </w:numPr>
        <w:spacing w:line="576" w:lineRule="exact"/>
        <w:ind w:firstLine="640"/>
        <w:jc w:val="both"/>
        <w:rPr>
          <w:rFonts w:eastAsia="仿宋_GB2312"/>
          <w:color w:val="000000"/>
          <w:sz w:val="32"/>
        </w:rPr>
      </w:pPr>
      <w:r>
        <w:rPr>
          <w:rFonts w:eastAsia="仿宋_GB2312"/>
          <w:color w:val="000000"/>
          <w:sz w:val="32"/>
        </w:rPr>
        <w:t>根据区政府领导指示，开展调查研究，及时反映情况，提出建议。</w:t>
      </w:r>
    </w:p>
    <w:p>
      <w:pPr>
        <w:numPr>
          <w:ilvl w:val="0"/>
          <w:numId w:val="1"/>
        </w:numPr>
        <w:spacing w:line="576" w:lineRule="exact"/>
        <w:ind w:firstLine="640"/>
        <w:jc w:val="both"/>
        <w:rPr>
          <w:rFonts w:eastAsia="仿宋_GB2312"/>
          <w:color w:val="000000"/>
          <w:sz w:val="32"/>
        </w:rPr>
      </w:pPr>
      <w:r>
        <w:rPr>
          <w:rFonts w:eastAsia="仿宋_GB2312"/>
          <w:color w:val="000000"/>
          <w:sz w:val="32"/>
        </w:rPr>
        <w:t>负责区政府的值班工作，及时准确地向政府领导报告重要情况。</w:t>
      </w:r>
    </w:p>
    <w:p>
      <w:pPr>
        <w:numPr>
          <w:ilvl w:val="0"/>
          <w:numId w:val="1"/>
        </w:numPr>
        <w:spacing w:line="576" w:lineRule="exact"/>
        <w:ind w:firstLine="640"/>
        <w:jc w:val="both"/>
        <w:rPr>
          <w:rFonts w:eastAsia="仿宋_GB2312"/>
          <w:color w:val="000000"/>
          <w:sz w:val="32"/>
        </w:rPr>
      </w:pPr>
      <w:r>
        <w:rPr>
          <w:rFonts w:eastAsia="仿宋_GB2312"/>
          <w:color w:val="000000"/>
          <w:sz w:val="32"/>
        </w:rPr>
        <w:t>收集、处理、传递全区的重要信息。负责向市委、市政府和区政府报送政务信息，为各乡</w:t>
      </w:r>
      <w:r>
        <w:rPr>
          <w:rFonts w:hint="eastAsia" w:eastAsia="仿宋_GB2312"/>
          <w:color w:val="000000"/>
          <w:sz w:val="32"/>
        </w:rPr>
        <w:t>（</w:t>
      </w:r>
      <w:r>
        <w:rPr>
          <w:rFonts w:eastAsia="仿宋_GB2312"/>
          <w:color w:val="000000"/>
          <w:sz w:val="32"/>
        </w:rPr>
        <w:t>镇</w:t>
      </w:r>
      <w:r>
        <w:rPr>
          <w:rFonts w:hint="eastAsia" w:eastAsia="仿宋_GB2312"/>
          <w:color w:val="000000"/>
          <w:sz w:val="32"/>
        </w:rPr>
        <w:t>）</w:t>
      </w:r>
      <w:r>
        <w:rPr>
          <w:rFonts w:eastAsia="仿宋_GB2312"/>
          <w:color w:val="000000"/>
          <w:sz w:val="32"/>
        </w:rPr>
        <w:t>、各部门提供信息服务。负责全区政府系统办公自动化建设的规划及业务指导工作。</w:t>
      </w:r>
    </w:p>
    <w:p>
      <w:pPr>
        <w:numPr>
          <w:ilvl w:val="0"/>
          <w:numId w:val="1"/>
        </w:numPr>
        <w:spacing w:line="576" w:lineRule="exact"/>
        <w:ind w:firstLine="640"/>
        <w:jc w:val="both"/>
        <w:rPr>
          <w:rFonts w:eastAsia="仿宋_GB2312"/>
          <w:color w:val="000000"/>
          <w:sz w:val="32"/>
        </w:rPr>
      </w:pPr>
      <w:r>
        <w:rPr>
          <w:rFonts w:eastAsia="仿宋_GB2312"/>
          <w:color w:val="000000"/>
          <w:sz w:val="32"/>
        </w:rPr>
        <w:t>做好行政事务、政府大院安全保卫工作，为政府领导服务，负责政府领导指定的接待和对口单位接待工作。</w:t>
      </w:r>
    </w:p>
    <w:p>
      <w:pPr>
        <w:spacing w:line="576" w:lineRule="exact"/>
        <w:ind w:firstLine="640"/>
        <w:jc w:val="both"/>
        <w:rPr>
          <w:rFonts w:eastAsia="仿宋_GB2312"/>
          <w:color w:val="000000"/>
          <w:sz w:val="32"/>
        </w:rPr>
      </w:pPr>
      <w:r>
        <w:rPr>
          <w:rFonts w:eastAsia="仿宋_GB2312"/>
          <w:color w:val="000000"/>
          <w:sz w:val="32"/>
        </w:rPr>
        <w:t>（十四）贯彻执行国家有关政府法制工作的方针、政策、法律、法规、规章。</w:t>
      </w:r>
    </w:p>
    <w:p>
      <w:pPr>
        <w:spacing w:line="576" w:lineRule="exact"/>
        <w:ind w:firstLine="640"/>
        <w:jc w:val="both"/>
        <w:rPr>
          <w:rFonts w:eastAsia="仿宋_GB2312"/>
          <w:color w:val="000000"/>
          <w:sz w:val="32"/>
        </w:rPr>
      </w:pPr>
      <w:r>
        <w:rPr>
          <w:rFonts w:eastAsia="仿宋_GB2312"/>
          <w:color w:val="000000"/>
          <w:sz w:val="32"/>
        </w:rPr>
        <w:t>（十五）负责区政府规章的解释工作；组织清理、编纂地方性法规、规章、行政规范性文件。</w:t>
      </w:r>
      <w:r>
        <w:rPr>
          <w:rFonts w:eastAsia="仿宋_GB2312"/>
          <w:color w:val="000000"/>
          <w:sz w:val="32"/>
        </w:rPr>
        <w:br w:type="textWrapping"/>
      </w:r>
      <w:r>
        <w:rPr>
          <w:rFonts w:eastAsia="仿宋_GB2312"/>
          <w:color w:val="000000"/>
          <w:sz w:val="32"/>
        </w:rPr>
        <w:t xml:space="preserve">    （十六）承办区人大及其常委会及各部门交办的规章草案征求意见工作。</w:t>
      </w:r>
      <w:r>
        <w:rPr>
          <w:rFonts w:eastAsia="仿宋_GB2312"/>
          <w:color w:val="000000"/>
          <w:sz w:val="32"/>
        </w:rPr>
        <w:br w:type="textWrapping"/>
      </w:r>
      <w:r>
        <w:rPr>
          <w:rFonts w:eastAsia="仿宋_GB2312"/>
          <w:color w:val="000000"/>
          <w:sz w:val="32"/>
        </w:rPr>
        <w:t xml:space="preserve">    （十七）对区政府交办的涉及重要法律问题的政策性文件、决定和行政措施进行发布或实施前的合法性审查；办理区人民政府各部门作出的重大行政处罚决定和制定的规范性文件的备案审查工作。</w:t>
      </w:r>
      <w:r>
        <w:rPr>
          <w:rFonts w:eastAsia="仿宋_GB2312"/>
          <w:color w:val="000000"/>
          <w:sz w:val="32"/>
        </w:rPr>
        <w:br w:type="textWrapping"/>
      </w:r>
      <w:r>
        <w:rPr>
          <w:rFonts w:eastAsia="仿宋_GB2312"/>
          <w:color w:val="000000"/>
          <w:sz w:val="32"/>
        </w:rPr>
        <w:t xml:space="preserve">    （十八）根据有关法规规定，负责办理行政执法监督中的具体工作；组织实施行政处罚；协调部门之间实施有关法律、法规、规章过程中产生的矛盾和争议。</w:t>
      </w:r>
    </w:p>
    <w:p>
      <w:pPr>
        <w:spacing w:line="576" w:lineRule="exact"/>
        <w:ind w:firstLine="640"/>
        <w:jc w:val="both"/>
        <w:rPr>
          <w:rFonts w:eastAsia="仿宋_GB2312"/>
          <w:color w:val="000000"/>
          <w:sz w:val="32"/>
        </w:rPr>
      </w:pPr>
      <w:r>
        <w:rPr>
          <w:rFonts w:eastAsia="仿宋_GB2312"/>
          <w:color w:val="000000"/>
          <w:sz w:val="32"/>
        </w:rPr>
        <w:t>（十九）承办向区人民政府申请的行政复议、行政赔偿案件；代理区人民政府的行政应诉事务；指导全区行政复议、行政应诉和行政赔偿工作。</w:t>
      </w:r>
      <w:r>
        <w:rPr>
          <w:rFonts w:eastAsia="仿宋_GB2312"/>
          <w:color w:val="000000"/>
          <w:sz w:val="32"/>
        </w:rPr>
        <w:br w:type="textWrapping"/>
      </w:r>
      <w:r>
        <w:rPr>
          <w:rFonts w:eastAsia="仿宋_GB2312"/>
          <w:color w:val="000000"/>
          <w:sz w:val="32"/>
        </w:rPr>
        <w:t xml:space="preserve">    （二十）开展政府法制理论、政府法制工作研究和交流，开展对外法制业务交流。</w:t>
      </w:r>
      <w:r>
        <w:rPr>
          <w:rFonts w:eastAsia="仿宋_GB2312"/>
          <w:color w:val="000000"/>
          <w:sz w:val="32"/>
        </w:rPr>
        <w:br w:type="textWrapping"/>
      </w:r>
      <w:r>
        <w:rPr>
          <w:rFonts w:eastAsia="仿宋_GB2312"/>
          <w:color w:val="000000"/>
          <w:sz w:val="32"/>
        </w:rPr>
        <w:t xml:space="preserve">    （二十一）负责处理群众来信，接待群众来访；向区委、政府反映来信来访中提出的重要建议、意见和问题。</w:t>
      </w:r>
    </w:p>
    <w:p>
      <w:pPr>
        <w:spacing w:line="576" w:lineRule="exact"/>
        <w:ind w:firstLine="640"/>
        <w:jc w:val="both"/>
        <w:rPr>
          <w:rFonts w:eastAsia="仿宋_GB2312"/>
          <w:color w:val="000000"/>
          <w:sz w:val="32"/>
        </w:rPr>
      </w:pPr>
      <w:r>
        <w:rPr>
          <w:rFonts w:eastAsia="仿宋_GB2312"/>
          <w:color w:val="000000"/>
          <w:sz w:val="32"/>
        </w:rPr>
        <w:t>（二十二）负责办理区信访局和区领导批办、交办的信访事项，承办其他地市、县（区）转办的群众来信；负责向各乡</w:t>
      </w:r>
      <w:r>
        <w:rPr>
          <w:rFonts w:hint="eastAsia" w:eastAsia="仿宋_GB2312"/>
          <w:color w:val="000000"/>
          <w:sz w:val="32"/>
        </w:rPr>
        <w:t>（</w:t>
      </w:r>
      <w:r>
        <w:rPr>
          <w:rFonts w:eastAsia="仿宋_GB2312"/>
          <w:color w:val="000000"/>
          <w:sz w:val="32"/>
        </w:rPr>
        <w:t>镇</w:t>
      </w:r>
      <w:r>
        <w:rPr>
          <w:rFonts w:hint="eastAsia" w:eastAsia="仿宋_GB2312"/>
          <w:color w:val="000000"/>
          <w:sz w:val="32"/>
        </w:rPr>
        <w:t>）</w:t>
      </w:r>
      <w:r>
        <w:rPr>
          <w:rFonts w:eastAsia="仿宋_GB2312"/>
          <w:color w:val="000000"/>
          <w:sz w:val="32"/>
        </w:rPr>
        <w:t>、区直各部门转办、交办信访事项；督促、检查、反馈信访事项的处理、落实情况。</w:t>
      </w:r>
    </w:p>
    <w:p>
      <w:pPr>
        <w:spacing w:line="576" w:lineRule="exact"/>
        <w:ind w:firstLine="640"/>
        <w:rPr>
          <w:rFonts w:eastAsia="仿宋_GB2312"/>
          <w:sz w:val="32"/>
          <w:szCs w:val="32"/>
        </w:rPr>
      </w:pPr>
      <w:r>
        <w:rPr>
          <w:rFonts w:eastAsia="仿宋_GB2312"/>
          <w:color w:val="000000"/>
          <w:sz w:val="32"/>
        </w:rPr>
        <w:t>（二十三）</w:t>
      </w:r>
      <w:r>
        <w:rPr>
          <w:rFonts w:eastAsia="仿宋_GB2312"/>
          <w:sz w:val="32"/>
          <w:szCs w:val="32"/>
        </w:rPr>
        <w:t>贯彻执行国家、自治区和市政府有关外事、侨务工作的方针、政策、涉外法律法规、指示和决定。</w:t>
      </w:r>
    </w:p>
    <w:p>
      <w:pPr>
        <w:spacing w:line="576" w:lineRule="exact"/>
        <w:ind w:firstLine="640"/>
        <w:rPr>
          <w:rFonts w:eastAsia="仿宋_GB2312"/>
          <w:b/>
          <w:sz w:val="32"/>
          <w:szCs w:val="32"/>
        </w:rPr>
      </w:pPr>
      <w:r>
        <w:rPr>
          <w:rFonts w:eastAsia="仿宋_GB2312"/>
          <w:sz w:val="32"/>
          <w:szCs w:val="32"/>
        </w:rPr>
        <w:t>（二十四）负责做好区委、区政府在外事侨务工作中的助手和参谋。制定全区外事侨务工作规章制度和工作规划；检查全区有关部门、单位贯彻执行对外方针政策和涉外涉侨法规情况；承办全区外事侨务工作和涉外活动；协调处理</w:t>
      </w:r>
      <w:r>
        <w:rPr>
          <w:rFonts w:hint="eastAsia" w:eastAsia="仿宋_GB2312"/>
          <w:sz w:val="32"/>
          <w:szCs w:val="32"/>
          <w:lang w:eastAsia="zh-CN"/>
        </w:rPr>
        <w:t>全区</w:t>
      </w:r>
      <w:r>
        <w:rPr>
          <w:rFonts w:eastAsia="仿宋_GB2312"/>
          <w:sz w:val="32"/>
          <w:szCs w:val="32"/>
        </w:rPr>
        <w:t>各类涉外涉侨事务。</w:t>
      </w:r>
      <w:r>
        <w:rPr>
          <w:rFonts w:eastAsia="仿宋_GB2312"/>
          <w:b/>
          <w:sz w:val="32"/>
          <w:szCs w:val="32"/>
        </w:rPr>
        <w:t xml:space="preserve"> </w:t>
      </w:r>
    </w:p>
    <w:p>
      <w:pPr>
        <w:spacing w:line="576" w:lineRule="exact"/>
        <w:ind w:firstLine="640"/>
        <w:rPr>
          <w:rFonts w:eastAsia="仿宋_GB2312"/>
        </w:rPr>
      </w:pPr>
      <w:r>
        <w:rPr>
          <w:rFonts w:eastAsia="仿宋_GB2312"/>
          <w:sz w:val="32"/>
          <w:szCs w:val="32"/>
        </w:rPr>
        <w:t>（二十五）承办区委、区政府交办的其他事项。</w:t>
      </w:r>
    </w:p>
    <w:p>
      <w:pPr>
        <w:spacing w:line="576" w:lineRule="exact"/>
        <w:ind w:firstLine="640"/>
        <w:jc w:val="both"/>
        <w:rPr>
          <w:rFonts w:eastAsia="黑体"/>
          <w:sz w:val="32"/>
        </w:rPr>
      </w:pPr>
      <w:r>
        <w:rPr>
          <w:rFonts w:eastAsia="黑体"/>
          <w:sz w:val="32"/>
        </w:rPr>
        <w:t>三、内设机构</w:t>
      </w:r>
    </w:p>
    <w:p>
      <w:pPr>
        <w:spacing w:line="576" w:lineRule="exact"/>
        <w:ind w:firstLine="640"/>
        <w:jc w:val="both"/>
        <w:rPr>
          <w:rFonts w:eastAsia="仿宋_GB2312"/>
          <w:sz w:val="32"/>
        </w:rPr>
      </w:pPr>
      <w:r>
        <w:rPr>
          <w:rFonts w:eastAsia="仿宋_GB2312"/>
          <w:sz w:val="32"/>
        </w:rPr>
        <w:t>乃东区政府办公室（政府法制办公室、信访局、外事侨务办公室）不设内设机构。</w:t>
      </w:r>
    </w:p>
    <w:p>
      <w:pPr>
        <w:spacing w:line="576" w:lineRule="exact"/>
        <w:ind w:firstLine="640"/>
        <w:jc w:val="both"/>
        <w:rPr>
          <w:rFonts w:eastAsia="黑体"/>
          <w:sz w:val="32"/>
        </w:rPr>
      </w:pPr>
      <w:r>
        <w:rPr>
          <w:rFonts w:eastAsia="黑体"/>
          <w:sz w:val="32"/>
        </w:rPr>
        <w:t>四、人员编制和领导职数</w:t>
      </w:r>
    </w:p>
    <w:p>
      <w:pPr>
        <w:spacing w:line="576" w:lineRule="exact"/>
        <w:ind w:firstLine="640"/>
        <w:jc w:val="both"/>
        <w:rPr>
          <w:rFonts w:eastAsia="仿宋_GB2312"/>
          <w:sz w:val="32"/>
        </w:rPr>
      </w:pPr>
      <w:r>
        <w:rPr>
          <w:rFonts w:eastAsia="仿宋_GB2312"/>
          <w:sz w:val="32"/>
        </w:rPr>
        <w:t>乃东区政府办公室（政府法制办公室、信访局、外事侨务办公室）核定编制总数</w:t>
      </w:r>
      <w:r>
        <w:rPr>
          <w:rFonts w:hint="eastAsia" w:eastAsia="仿宋_GB2312"/>
          <w:sz w:val="32"/>
        </w:rPr>
        <w:t>13</w:t>
      </w:r>
      <w:r>
        <w:rPr>
          <w:rFonts w:eastAsia="仿宋_GB2312"/>
          <w:sz w:val="32"/>
        </w:rPr>
        <w:t>名。其中：行政编制</w:t>
      </w:r>
      <w:r>
        <w:rPr>
          <w:rFonts w:hint="eastAsia" w:eastAsia="仿宋_GB2312"/>
          <w:sz w:val="32"/>
        </w:rPr>
        <w:t>11</w:t>
      </w:r>
      <w:r>
        <w:rPr>
          <w:rFonts w:eastAsia="仿宋_GB2312"/>
          <w:sz w:val="32"/>
        </w:rPr>
        <w:t>名</w:t>
      </w:r>
      <w:r>
        <w:rPr>
          <w:rFonts w:hint="eastAsia" w:eastAsia="仿宋_GB2312"/>
          <w:sz w:val="32"/>
        </w:rPr>
        <w:t>（含区政府领导编制）</w:t>
      </w:r>
      <w:r>
        <w:rPr>
          <w:rFonts w:eastAsia="仿宋_GB2312"/>
          <w:sz w:val="32"/>
        </w:rPr>
        <w:t>，事业编制</w:t>
      </w:r>
      <w:r>
        <w:rPr>
          <w:rFonts w:hint="eastAsia" w:eastAsia="仿宋_GB2312"/>
          <w:sz w:val="32"/>
        </w:rPr>
        <w:t>2</w:t>
      </w:r>
      <w:r>
        <w:rPr>
          <w:rFonts w:eastAsia="仿宋_GB2312"/>
          <w:sz w:val="32"/>
        </w:rPr>
        <w:t>名。</w:t>
      </w:r>
    </w:p>
    <w:p>
      <w:pPr>
        <w:spacing w:line="576" w:lineRule="exact"/>
        <w:ind w:firstLine="640"/>
        <w:jc w:val="both"/>
        <w:rPr>
          <w:rFonts w:eastAsia="仿宋_GB2312"/>
          <w:sz w:val="32"/>
        </w:rPr>
      </w:pPr>
      <w:r>
        <w:rPr>
          <w:rFonts w:eastAsia="仿宋_GB2312"/>
          <w:sz w:val="32"/>
        </w:rPr>
        <w:t>领导职数：核定办（局）领导职数</w:t>
      </w:r>
      <w:r>
        <w:rPr>
          <w:rFonts w:hint="eastAsia" w:eastAsia="仿宋_GB2312"/>
          <w:sz w:val="32"/>
        </w:rPr>
        <w:t>4</w:t>
      </w:r>
      <w:r>
        <w:rPr>
          <w:rFonts w:eastAsia="仿宋_GB2312"/>
          <w:sz w:val="32"/>
        </w:rPr>
        <w:t>名。</w:t>
      </w:r>
    </w:p>
    <w:p>
      <w:pPr>
        <w:spacing w:line="576" w:lineRule="exact"/>
        <w:ind w:firstLine="640"/>
        <w:jc w:val="both"/>
        <w:rPr>
          <w:rFonts w:eastAsia="黑体"/>
          <w:sz w:val="32"/>
        </w:rPr>
      </w:pPr>
      <w:r>
        <w:rPr>
          <w:rFonts w:eastAsia="黑体"/>
          <w:sz w:val="32"/>
        </w:rPr>
        <w:t>五、附则</w:t>
      </w:r>
    </w:p>
    <w:p>
      <w:pPr>
        <w:spacing w:line="576" w:lineRule="exact"/>
        <w:ind w:firstLine="640"/>
        <w:jc w:val="both"/>
        <w:rPr>
          <w:rFonts w:eastAsia="仿宋_GB2312"/>
          <w:sz w:val="32"/>
        </w:rPr>
      </w:pPr>
      <w:r>
        <w:rPr>
          <w:rFonts w:eastAsia="仿宋_GB2312"/>
          <w:sz w:val="32"/>
        </w:rPr>
        <w:t>（一）本规定由区机构编制委员会办公室负责解释，其调整由区机构编制委员会办公室按规定程序办理。</w:t>
      </w:r>
    </w:p>
    <w:p>
      <w:pPr>
        <w:pStyle w:val="10"/>
        <w:autoSpaceDN w:val="0"/>
        <w:spacing w:line="576" w:lineRule="exact"/>
        <w:rPr>
          <w:rFonts w:eastAsia="仿宋_GB2312"/>
          <w:sz w:val="32"/>
          <w:szCs w:val="32"/>
        </w:rPr>
      </w:pPr>
      <w:r>
        <w:rPr>
          <w:rFonts w:eastAsia="仿宋_GB2312"/>
          <w:sz w:val="32"/>
        </w:rPr>
        <w:t>（二）区机构编制委员会办公室对区人民政府办公室（政府法制办公室、信访局、外事侨务办公室）职责履行情况进行监督检查。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0"/>
        <w:gridCol w:w="1558"/>
        <w:gridCol w:w="1423"/>
        <w:gridCol w:w="1154"/>
        <w:gridCol w:w="1225"/>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08"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3"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4"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651"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08"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28"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2426.99</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2350.95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2350.95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204.59</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(十二)城乡社区事务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204.59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2631.58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2631.58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2423.99</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204.59</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7"/>
        <w:gridCol w:w="2018"/>
        <w:gridCol w:w="1377"/>
        <w:gridCol w:w="1377"/>
        <w:gridCol w:w="1374"/>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2426.99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1489.7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937.29</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1271.55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807.05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2011505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执法办案专项</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2011599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其他工商行政管理事务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2040101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内卫</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2010350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2426.99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1489.7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937.29</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69"/>
        <w:gridCol w:w="1923"/>
        <w:gridCol w:w="893"/>
        <w:gridCol w:w="1238"/>
        <w:gridCol w:w="1348"/>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36" w:type="dxa"/>
            <w:gridSpan w:val="6"/>
            <w:shd w:val="clear" w:color="auto" w:fill="auto"/>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69" w:type="dxa"/>
            <w:shd w:val="clear" w:color="auto" w:fill="auto"/>
            <w:vAlign w:val="bottom"/>
          </w:tcPr>
          <w:p>
            <w:pPr>
              <w:jc w:val="both"/>
              <w:rPr>
                <w:rFonts w:hint="eastAsia" w:ascii="宋体" w:hAnsi="宋体" w:eastAsia="宋体" w:cs="宋体"/>
                <w:i w:val="0"/>
                <w:color w:val="000000"/>
                <w:sz w:val="21"/>
                <w:szCs w:val="21"/>
                <w:u w:val="none"/>
              </w:rPr>
            </w:pPr>
          </w:p>
        </w:tc>
        <w:tc>
          <w:tcPr>
            <w:tcW w:w="1923" w:type="dxa"/>
            <w:shd w:val="clear" w:color="auto" w:fill="auto"/>
            <w:vAlign w:val="bottom"/>
          </w:tcPr>
          <w:p>
            <w:pPr>
              <w:jc w:val="both"/>
              <w:rPr>
                <w:rFonts w:hint="eastAsia" w:ascii="宋体" w:hAnsi="宋体" w:eastAsia="宋体" w:cs="宋体"/>
                <w:i w:val="0"/>
                <w:color w:val="000000"/>
                <w:sz w:val="22"/>
                <w:szCs w:val="22"/>
                <w:u w:val="none"/>
              </w:rPr>
            </w:pPr>
          </w:p>
        </w:tc>
        <w:tc>
          <w:tcPr>
            <w:tcW w:w="893" w:type="dxa"/>
            <w:shd w:val="clear" w:color="auto" w:fill="auto"/>
            <w:vAlign w:val="bottom"/>
          </w:tcPr>
          <w:p>
            <w:pPr>
              <w:jc w:val="both"/>
              <w:rPr>
                <w:rFonts w:hint="eastAsia" w:ascii="宋体" w:hAnsi="宋体" w:eastAsia="宋体" w:cs="宋体"/>
                <w:i w:val="0"/>
                <w:color w:val="000000"/>
                <w:sz w:val="22"/>
                <w:szCs w:val="22"/>
                <w:u w:val="none"/>
              </w:rPr>
            </w:pPr>
          </w:p>
        </w:tc>
        <w:tc>
          <w:tcPr>
            <w:tcW w:w="1238" w:type="dxa"/>
            <w:shd w:val="clear" w:color="auto" w:fill="auto"/>
            <w:vAlign w:val="bottom"/>
          </w:tcPr>
          <w:p>
            <w:pPr>
              <w:jc w:val="both"/>
              <w:rPr>
                <w:rFonts w:hint="eastAsia" w:ascii="宋体" w:hAnsi="宋体" w:eastAsia="宋体" w:cs="宋体"/>
                <w:i w:val="0"/>
                <w:color w:val="000000"/>
                <w:sz w:val="22"/>
                <w:szCs w:val="22"/>
                <w:u w:val="none"/>
              </w:rPr>
            </w:pPr>
          </w:p>
        </w:tc>
        <w:tc>
          <w:tcPr>
            <w:tcW w:w="2813"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39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479"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4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34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4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1202.08</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483.83</w:t>
            </w:r>
          </w:p>
        </w:tc>
        <w:tc>
          <w:tcPr>
            <w:tcW w:w="134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278.44</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278.44</w:t>
            </w:r>
          </w:p>
        </w:tc>
        <w:tc>
          <w:tcPr>
            <w:tcW w:w="1348"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736.96</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736.96</w:t>
            </w:r>
          </w:p>
        </w:tc>
        <w:tc>
          <w:tcPr>
            <w:tcW w:w="1348"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132.66</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132.66</w:t>
            </w:r>
          </w:p>
        </w:tc>
        <w:tc>
          <w:tcPr>
            <w:tcW w:w="1348"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伙食补助费</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19.02</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19.02</w:t>
            </w:r>
          </w:p>
        </w:tc>
        <w:tc>
          <w:tcPr>
            <w:tcW w:w="1348"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商品和服务支出</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187.33</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0</w:t>
            </w:r>
          </w:p>
        </w:tc>
        <w:tc>
          <w:tcPr>
            <w:tcW w:w="134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36.08</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27.76</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27.76</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42.45</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42.45</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13.88</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13.88</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对个人和家庭的补助</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100.29</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117.63</w:t>
            </w:r>
          </w:p>
        </w:tc>
        <w:tc>
          <w:tcPr>
            <w:tcW w:w="134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0</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94.85</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94.85</w:t>
            </w:r>
          </w:p>
        </w:tc>
        <w:tc>
          <w:tcPr>
            <w:tcW w:w="1348"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资本性支出</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469"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31002</w:t>
            </w:r>
          </w:p>
        </w:tc>
        <w:tc>
          <w:tcPr>
            <w:tcW w:w="192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办公设备购置</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w:t>
            </w:r>
          </w:p>
        </w:tc>
        <w:tc>
          <w:tcPr>
            <w:tcW w:w="1238"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8"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339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93"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1489.7</w:t>
            </w:r>
          </w:p>
        </w:tc>
        <w:tc>
          <w:tcPr>
            <w:tcW w:w="123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601.46</w:t>
            </w:r>
          </w:p>
        </w:tc>
        <w:tc>
          <w:tcPr>
            <w:tcW w:w="1348"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71.08</w:t>
            </w:r>
          </w:p>
        </w:tc>
        <w:tc>
          <w:tcPr>
            <w:tcW w:w="1465"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36" w:type="dxa"/>
            <w:gridSpan w:val="6"/>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132.05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8"/>
        <w:gridCol w:w="3578"/>
        <w:gridCol w:w="1128"/>
        <w:gridCol w:w="696"/>
        <w:gridCol w:w="671"/>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8"/>
                <w:szCs w:val="48"/>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115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3578" w:type="dxa"/>
            <w:shd w:val="clear" w:color="auto" w:fill="auto"/>
            <w:vAlign w:val="center"/>
          </w:tcPr>
          <w:p>
            <w:pPr>
              <w:rPr>
                <w:rFonts w:hint="eastAsia" w:ascii="宋体" w:hAnsi="宋体" w:eastAsia="宋体" w:cs="宋体"/>
                <w:i w:val="0"/>
                <w:color w:val="000000"/>
                <w:sz w:val="18"/>
                <w:szCs w:val="18"/>
                <w:u w:val="none"/>
              </w:rPr>
            </w:pPr>
          </w:p>
        </w:tc>
        <w:tc>
          <w:tcPr>
            <w:tcW w:w="1128" w:type="dxa"/>
            <w:shd w:val="clear" w:color="auto" w:fill="auto"/>
            <w:vAlign w:val="center"/>
          </w:tcPr>
          <w:p>
            <w:pPr>
              <w:rPr>
                <w:rFonts w:hint="eastAsia" w:ascii="宋体" w:hAnsi="宋体" w:eastAsia="宋体" w:cs="宋体"/>
                <w:i w:val="0"/>
                <w:color w:val="000000"/>
                <w:sz w:val="18"/>
                <w:szCs w:val="18"/>
                <w:u w:val="none"/>
              </w:rPr>
            </w:pPr>
          </w:p>
        </w:tc>
        <w:tc>
          <w:tcPr>
            <w:tcW w:w="696" w:type="dxa"/>
            <w:shd w:val="clear" w:color="auto" w:fill="auto"/>
            <w:vAlign w:val="center"/>
          </w:tcPr>
          <w:p>
            <w:pPr>
              <w:rPr>
                <w:rFonts w:hint="eastAsia" w:ascii="宋体" w:hAnsi="宋体" w:eastAsia="宋体" w:cs="宋体"/>
                <w:i w:val="0"/>
                <w:color w:val="000000"/>
                <w:sz w:val="18"/>
                <w:szCs w:val="18"/>
                <w:u w:val="none"/>
              </w:rPr>
            </w:pPr>
          </w:p>
        </w:tc>
        <w:tc>
          <w:tcPr>
            <w:tcW w:w="1776"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2120899</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其他国有土地使用权出让收入安排的支出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4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204.59</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73"/>
        <w:gridCol w:w="2535"/>
        <w:gridCol w:w="1925"/>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190"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473" w:type="dxa"/>
            <w:shd w:val="clear" w:color="auto" w:fill="auto"/>
            <w:vAlign w:val="center"/>
          </w:tcPr>
          <w:p>
            <w:pPr>
              <w:jc w:val="left"/>
              <w:rPr>
                <w:rFonts w:hint="eastAsia" w:ascii="宋体" w:hAnsi="宋体" w:eastAsia="宋体" w:cs="宋体"/>
                <w:i w:val="0"/>
                <w:color w:val="000000"/>
                <w:sz w:val="21"/>
                <w:szCs w:val="21"/>
                <w:u w:val="none"/>
              </w:rPr>
            </w:pPr>
          </w:p>
        </w:tc>
        <w:tc>
          <w:tcPr>
            <w:tcW w:w="2535" w:type="dxa"/>
            <w:shd w:val="clear" w:color="auto" w:fill="auto"/>
            <w:vAlign w:val="bottom"/>
          </w:tcPr>
          <w:p>
            <w:pPr>
              <w:rPr>
                <w:rFonts w:hint="eastAsia" w:ascii="宋体" w:hAnsi="宋体" w:eastAsia="宋体" w:cs="宋体"/>
                <w:i w:val="0"/>
                <w:color w:val="000000"/>
                <w:sz w:val="18"/>
                <w:szCs w:val="18"/>
                <w:u w:val="none"/>
              </w:rPr>
            </w:pPr>
          </w:p>
        </w:tc>
        <w:tc>
          <w:tcPr>
            <w:tcW w:w="1925" w:type="dxa"/>
            <w:shd w:val="clear" w:color="auto" w:fill="auto"/>
            <w:vAlign w:val="bottom"/>
          </w:tcPr>
          <w:p>
            <w:pPr>
              <w:rPr>
                <w:rFonts w:hint="eastAsia" w:ascii="宋体" w:hAnsi="宋体" w:eastAsia="宋体" w:cs="宋体"/>
                <w:i w:val="0"/>
                <w:color w:val="000000"/>
                <w:sz w:val="18"/>
                <w:szCs w:val="18"/>
                <w:u w:val="none"/>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2631.58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2631.58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2631.58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2631.58</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873"/>
        <w:gridCol w:w="973"/>
        <w:gridCol w:w="447"/>
        <w:gridCol w:w="1084"/>
        <w:gridCol w:w="750"/>
        <w:gridCol w:w="439"/>
        <w:gridCol w:w="446"/>
        <w:gridCol w:w="401"/>
        <w:gridCol w:w="386"/>
        <w:gridCol w:w="306"/>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12"/>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6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873" w:type="dxa"/>
            <w:shd w:val="clear" w:color="auto" w:fill="auto"/>
            <w:vAlign w:val="bottom"/>
          </w:tcPr>
          <w:p>
            <w:pPr>
              <w:rPr>
                <w:rFonts w:hint="eastAsia" w:ascii="宋体" w:hAnsi="宋体" w:eastAsia="宋体" w:cs="宋体"/>
                <w:i w:val="0"/>
                <w:color w:val="000000"/>
                <w:sz w:val="18"/>
                <w:szCs w:val="18"/>
                <w:u w:val="none"/>
              </w:rPr>
            </w:pPr>
          </w:p>
        </w:tc>
        <w:tc>
          <w:tcPr>
            <w:tcW w:w="973" w:type="dxa"/>
            <w:shd w:val="clear" w:color="auto" w:fill="auto"/>
            <w:vAlign w:val="bottom"/>
          </w:tcPr>
          <w:p>
            <w:pPr>
              <w:rPr>
                <w:rFonts w:hint="eastAsia" w:ascii="宋体" w:hAnsi="宋体" w:eastAsia="宋体" w:cs="宋体"/>
                <w:i w:val="0"/>
                <w:color w:val="000000"/>
                <w:sz w:val="18"/>
                <w:szCs w:val="18"/>
                <w:u w:val="none"/>
              </w:rPr>
            </w:pPr>
          </w:p>
        </w:tc>
        <w:tc>
          <w:tcPr>
            <w:tcW w:w="447" w:type="dxa"/>
            <w:shd w:val="clear" w:color="auto" w:fill="auto"/>
            <w:vAlign w:val="bottom"/>
          </w:tcPr>
          <w:p>
            <w:pPr>
              <w:rPr>
                <w:rFonts w:hint="eastAsia" w:ascii="宋体" w:hAnsi="宋体" w:eastAsia="宋体" w:cs="宋体"/>
                <w:i w:val="0"/>
                <w:color w:val="000000"/>
                <w:sz w:val="18"/>
                <w:szCs w:val="18"/>
                <w:u w:val="none"/>
              </w:rPr>
            </w:pPr>
          </w:p>
        </w:tc>
        <w:tc>
          <w:tcPr>
            <w:tcW w:w="1084" w:type="dxa"/>
            <w:shd w:val="clear" w:color="auto" w:fill="auto"/>
            <w:vAlign w:val="bottom"/>
          </w:tcPr>
          <w:p>
            <w:pPr>
              <w:rPr>
                <w:rFonts w:hint="eastAsia" w:ascii="宋体" w:hAnsi="宋体" w:eastAsia="宋体" w:cs="宋体"/>
                <w:i w:val="0"/>
                <w:color w:val="000000"/>
                <w:sz w:val="18"/>
                <w:szCs w:val="18"/>
                <w:u w:val="none"/>
              </w:rPr>
            </w:pPr>
          </w:p>
        </w:tc>
        <w:tc>
          <w:tcPr>
            <w:tcW w:w="750" w:type="dxa"/>
            <w:shd w:val="clear" w:color="auto" w:fill="auto"/>
            <w:vAlign w:val="bottom"/>
          </w:tcPr>
          <w:p>
            <w:pPr>
              <w:rPr>
                <w:rFonts w:hint="eastAsia" w:ascii="宋体" w:hAnsi="宋体" w:eastAsia="宋体" w:cs="宋体"/>
                <w:i w:val="0"/>
                <w:color w:val="000000"/>
                <w:sz w:val="18"/>
                <w:szCs w:val="18"/>
                <w:u w:val="none"/>
              </w:rPr>
            </w:pPr>
          </w:p>
        </w:tc>
        <w:tc>
          <w:tcPr>
            <w:tcW w:w="439" w:type="dxa"/>
            <w:shd w:val="clear" w:color="auto" w:fill="auto"/>
            <w:vAlign w:val="bottom"/>
          </w:tcPr>
          <w:p>
            <w:pPr>
              <w:rPr>
                <w:rFonts w:hint="eastAsia" w:ascii="宋体" w:hAnsi="宋体" w:eastAsia="宋体" w:cs="宋体"/>
                <w:i w:val="0"/>
                <w:color w:val="000000"/>
                <w:sz w:val="18"/>
                <w:szCs w:val="18"/>
                <w:u w:val="none"/>
              </w:rPr>
            </w:pPr>
          </w:p>
        </w:tc>
        <w:tc>
          <w:tcPr>
            <w:tcW w:w="446" w:type="dxa"/>
            <w:shd w:val="clear" w:color="auto" w:fill="auto"/>
            <w:vAlign w:val="bottom"/>
          </w:tcPr>
          <w:p>
            <w:pPr>
              <w:rPr>
                <w:rFonts w:hint="eastAsia" w:ascii="宋体" w:hAnsi="宋体" w:eastAsia="宋体" w:cs="宋体"/>
                <w:i w:val="0"/>
                <w:color w:val="000000"/>
                <w:sz w:val="18"/>
                <w:szCs w:val="18"/>
                <w:u w:val="none"/>
              </w:rPr>
            </w:pPr>
          </w:p>
        </w:tc>
        <w:tc>
          <w:tcPr>
            <w:tcW w:w="401" w:type="dxa"/>
            <w:shd w:val="clear" w:color="auto" w:fill="auto"/>
            <w:vAlign w:val="bottom"/>
          </w:tcPr>
          <w:p>
            <w:pPr>
              <w:rPr>
                <w:rFonts w:hint="eastAsia" w:ascii="宋体" w:hAnsi="宋体" w:eastAsia="宋体" w:cs="宋体"/>
                <w:i w:val="0"/>
                <w:color w:val="000000"/>
                <w:sz w:val="18"/>
                <w:szCs w:val="18"/>
                <w:u w:val="none"/>
              </w:rPr>
            </w:pPr>
          </w:p>
        </w:tc>
        <w:tc>
          <w:tcPr>
            <w:tcW w:w="386" w:type="dxa"/>
            <w:shd w:val="clear" w:color="auto" w:fill="auto"/>
            <w:vAlign w:val="bottom"/>
          </w:tcPr>
          <w:p>
            <w:pPr>
              <w:rPr>
                <w:rFonts w:hint="eastAsia" w:ascii="宋体" w:hAnsi="宋体" w:eastAsia="宋体" w:cs="宋体"/>
                <w:i w:val="0"/>
                <w:color w:val="000000"/>
                <w:sz w:val="18"/>
                <w:szCs w:val="18"/>
                <w:u w:val="none"/>
              </w:rPr>
            </w:pPr>
          </w:p>
        </w:tc>
        <w:tc>
          <w:tcPr>
            <w:tcW w:w="772"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2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2426.99</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2426.99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1271.55</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1271.55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信访事务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2011505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执法办案专项</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2011599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其他工商行政管理事务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2040101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内卫</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其他农业支出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2010350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事业运行</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2120899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其他国有土地使用权出让收入安排的支出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204.59</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204.59</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2631.58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2426.99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204.59</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6"/>
        <w:gridCol w:w="2307"/>
        <w:gridCol w:w="1021"/>
        <w:gridCol w:w="953"/>
        <w:gridCol w:w="870"/>
        <w:gridCol w:w="818"/>
        <w:gridCol w:w="722"/>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5" w:hRule="atLeast"/>
        </w:trPr>
        <w:tc>
          <w:tcPr>
            <w:tcW w:w="833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2017年乃东区政府办部门支出总表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26" w:type="dxa"/>
            <w:shd w:val="clear" w:color="auto" w:fill="auto"/>
            <w:vAlign w:val="center"/>
          </w:tcPr>
          <w:p>
            <w:pPr>
              <w:jc w:val="left"/>
              <w:rPr>
                <w:rFonts w:hint="eastAsia" w:ascii="宋体" w:hAnsi="宋体" w:eastAsia="宋体" w:cs="宋体"/>
                <w:i w:val="0"/>
                <w:color w:val="000000"/>
                <w:sz w:val="21"/>
                <w:szCs w:val="21"/>
                <w:u w:val="none"/>
              </w:rPr>
            </w:pPr>
          </w:p>
        </w:tc>
        <w:tc>
          <w:tcPr>
            <w:tcW w:w="2307" w:type="dxa"/>
            <w:shd w:val="clear" w:color="auto" w:fill="auto"/>
            <w:vAlign w:val="center"/>
          </w:tcPr>
          <w:p>
            <w:pPr>
              <w:rPr>
                <w:rFonts w:hint="eastAsia" w:ascii="宋体" w:hAnsi="宋体" w:eastAsia="宋体" w:cs="宋体"/>
                <w:i w:val="0"/>
                <w:color w:val="000000"/>
                <w:sz w:val="22"/>
                <w:szCs w:val="22"/>
                <w:u w:val="none"/>
              </w:rPr>
            </w:pPr>
          </w:p>
        </w:tc>
        <w:tc>
          <w:tcPr>
            <w:tcW w:w="1021" w:type="dxa"/>
            <w:shd w:val="clear" w:color="auto" w:fill="auto"/>
            <w:vAlign w:val="center"/>
          </w:tcPr>
          <w:p>
            <w:pPr>
              <w:rPr>
                <w:rFonts w:hint="eastAsia" w:ascii="宋体" w:hAnsi="宋体" w:eastAsia="宋体" w:cs="宋体"/>
                <w:i w:val="0"/>
                <w:color w:val="000000"/>
                <w:sz w:val="22"/>
                <w:szCs w:val="22"/>
                <w:u w:val="none"/>
              </w:rPr>
            </w:pPr>
          </w:p>
        </w:tc>
        <w:tc>
          <w:tcPr>
            <w:tcW w:w="953" w:type="dxa"/>
            <w:shd w:val="clear" w:color="auto" w:fill="auto"/>
            <w:vAlign w:val="center"/>
          </w:tcPr>
          <w:p>
            <w:pPr>
              <w:rPr>
                <w:rFonts w:hint="eastAsia" w:ascii="宋体" w:hAnsi="宋体" w:eastAsia="宋体" w:cs="宋体"/>
                <w:i w:val="0"/>
                <w:color w:val="000000"/>
                <w:sz w:val="22"/>
                <w:szCs w:val="22"/>
                <w:u w:val="none"/>
              </w:rPr>
            </w:pPr>
          </w:p>
        </w:tc>
        <w:tc>
          <w:tcPr>
            <w:tcW w:w="870" w:type="dxa"/>
            <w:shd w:val="clear" w:color="auto" w:fill="auto"/>
            <w:vAlign w:val="center"/>
          </w:tcPr>
          <w:p>
            <w:pPr>
              <w:rPr>
                <w:rFonts w:hint="eastAsia" w:ascii="宋体" w:hAnsi="宋体" w:eastAsia="宋体" w:cs="宋体"/>
                <w:i w:val="0"/>
                <w:color w:val="000000"/>
                <w:sz w:val="22"/>
                <w:szCs w:val="22"/>
                <w:u w:val="none"/>
              </w:rPr>
            </w:pPr>
          </w:p>
        </w:tc>
        <w:tc>
          <w:tcPr>
            <w:tcW w:w="818" w:type="dxa"/>
            <w:shd w:val="clear" w:color="auto" w:fill="auto"/>
            <w:vAlign w:val="center"/>
          </w:tcPr>
          <w:p>
            <w:pPr>
              <w:rPr>
                <w:rFonts w:hint="eastAsia" w:ascii="宋体" w:hAnsi="宋体" w:eastAsia="宋体" w:cs="宋体"/>
                <w:i w:val="0"/>
                <w:color w:val="000000"/>
                <w:sz w:val="22"/>
                <w:szCs w:val="22"/>
                <w:u w:val="none"/>
              </w:rPr>
            </w:pPr>
          </w:p>
        </w:tc>
        <w:tc>
          <w:tcPr>
            <w:tcW w:w="1541"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2426.99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1489.7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937.29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1271.55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807.05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2010308</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信访事务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2011505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执法办案专项</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2011599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其他工商行政管理事务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2040101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内卫</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其他农业支出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2010350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事业运行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2120899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其他国有土地使用权出让收入安排的支出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204.59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2,631.58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1,489.70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1,141.88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乃东区人民政府办公室2017年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乃东区人民政府办公室2017年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为一般公共预算拨款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2426.99</w:t>
      </w:r>
      <w:r>
        <w:rPr>
          <w:rFonts w:hint="eastAsia" w:ascii="仿宋_GB2312" w:hAnsi="仿宋_GB2312" w:eastAsia="仿宋_GB2312" w:cs="仿宋_GB2312"/>
          <w:color w:val="000000" w:themeColor="text1"/>
          <w:sz w:val="32"/>
          <w:szCs w:val="32"/>
          <w14:textFill>
            <w14:solidFill>
              <w14:schemeClr w14:val="tx1"/>
            </w14:solidFill>
          </w14:textFill>
        </w:rPr>
        <w:t>，政府性基金预算拨款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204.59</w:t>
      </w:r>
      <w:r>
        <w:rPr>
          <w:rFonts w:hint="eastAsia" w:ascii="仿宋_GB2312" w:hAnsi="仿宋_GB2312" w:eastAsia="仿宋_GB2312" w:cs="仿宋_GB2312"/>
          <w:color w:val="000000" w:themeColor="text1"/>
          <w:sz w:val="32"/>
          <w:szCs w:val="32"/>
          <w14:textFill>
            <w14:solidFill>
              <w14:schemeClr w14:val="tx1"/>
            </w14:solidFill>
          </w14:textFill>
        </w:rPr>
        <w:t>，包括：当年财政拨款收入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一般公共服务支出2350.95万元，公共安全支出3万元，城乡社区事务204.59万元，农林水事务73.04万元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2"/>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1202.08</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187.33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对个人和家庭的补助100.29万元、项目支出1141.88万元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一般公共服务支出2350.95</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89.34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公共安全支出3</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城乡社区事务支出204.59</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农林水事务支出73.04</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2.78</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一般公共服务支出2426.99万元；2010301行政运行1271.55万元，2010308信访事务30万元，2010399其他政府办公厅（室）及相关机构事务支出244.8万元，2011505执法办案专项5万元，其他工商行政管理事务3万元，2040101内卫3万元，2130199其他农业支出73.04万元，2010301行政运行576.6万元，2010350事业运行60万元，2010399其他政府办公厅（室）及相关机构事务支出160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1489.7</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1202.08</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278.44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736.96</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132.96</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19.02</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187.33</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27.76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邮电费3.94万元，差旅费9.7万元，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42.45</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其他商品和服务支出13.88万元；对个人和家庭的补助100.29万元包括：生活补助94.85万元，资本性支出2.72万元，办公设备购置2.72万元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2017年三公经费预算合计132.05万元，同比增加27.81万元，上升26.68%。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增加的原因主要是需要执行的相关工作增加，下乡次数增多，致使相关经费增加。</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乃东区人民政府办公室2017年</w:t>
      </w:r>
      <w:r>
        <w:rPr>
          <w:rFonts w:hint="eastAsia" w:ascii="仿宋_GB2312" w:hAnsi="仿宋_GB2312" w:eastAsia="仿宋_GB2312" w:cs="仿宋_GB2312"/>
          <w:color w:val="000000" w:themeColor="text1"/>
          <w:sz w:val="32"/>
          <w:szCs w:val="32"/>
          <w14:textFill>
            <w14:solidFill>
              <w14:schemeClr w14:val="tx1"/>
            </w14:solidFill>
          </w14:textFill>
        </w:rPr>
        <w:t>政府性基金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预算拨款204.59万元，其中其他国有土地使用权出让收入安排的支出204.59万元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1489.7</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1141.88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1489.7</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1141.88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2631.58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一般公共服务支出2350.95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公共安全支出3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城乡社区事务支出204.59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农林水事务支出73.04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2017年政府机关运行经费预算为49.02万元，与2016年75.6万元相比减少26.58万元，减少35.16%。</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2287AD1"/>
    <w:rsid w:val="554D43C3"/>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11"/>
    <w:basedOn w:val="5"/>
    <w:uiPriority w:val="0"/>
    <w:rPr>
      <w:rFonts w:hint="eastAsia" w:ascii="宋体" w:hAnsi="宋体" w:eastAsia="宋体" w:cs="宋体"/>
      <w:color w:val="000000"/>
      <w:sz w:val="21"/>
      <w:szCs w:val="21"/>
      <w:u w:val="none"/>
    </w:rPr>
  </w:style>
  <w:style w:type="character" w:customStyle="1" w:styleId="15">
    <w:name w:val="font91"/>
    <w:basedOn w:val="5"/>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TotalTime>
  <ScaleCrop>false</ScaleCrop>
  <LinksUpToDate>false</LinksUpToDate>
  <CharactersWithSpaces>4090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2018-12-24T02:34:24Z</cp:lastPrinted>
  <dcterms:modified xsi:type="dcterms:W3CDTF">2018-12-24T02:43:24Z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