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中共乃东区委政法委</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中共乃东区委政法委2017年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中共乃东区委政法委2017年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政法委员会机关是县委领导、管理全县政法工作的助职能部门，与县社会治安综合治理委员会办公室合署办公，正科级建制。其主要职责是：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l、根据党中央的路线方针及区党委和地委的部署，领导、管理全县政法工作，统一政法部门的思想和行动，维护全县的社会稳定。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2、全面掌握、综合分析全县反分裂斗争和社会治安形势提出对策，制定措施，及时组织打击各种分裂祖国的活动和依法从重从快惩处严重刑事、经济犯罪分子的斗争，维护祖国统一和社会稳定。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3、检查政法部门执行法律法规和党的方针政策情况；大力支持和严格监督政法各部门依法行使职权，指导和协调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政法各部门在依法相互制约同时密切配合；督促、推动大案要案的查处置作；研究、协调有争议的重大、疑难案件。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4、根据县委、县政府的工作部署和全县社会治安综合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治理工作规划，制定全县社会治安综合治理工作具体实施    方案，组织协调全县社会治安综合治理正作，推动各项措施的落实。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5、组织推动政法战线的调鲞研究工作，总结新经验，解决新问题，探索政法工作改革。对一定时期内全县的政法工作作出整体部署，并组织实施和督促落实。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6、研究加强政法队伍建设和领导班子建设的措施，协助县委和县委组织部门考察、管理政法各部门的干部。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7、管理司法局。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8、办理县委交办的其他事项。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政法委员会机关（社会治安综合治理委员会办公室）</w:t>
      </w:r>
    </w:p>
    <w:p>
      <w:pPr>
        <w:pStyle w:val="10"/>
        <w:autoSpaceDN w:val="0"/>
        <w:spacing w:line="576" w:lineRule="exact"/>
        <w:rPr>
          <w:rFonts w:eastAsia="仿宋_GB2312"/>
          <w:sz w:val="32"/>
          <w:szCs w:val="32"/>
        </w:rPr>
      </w:pPr>
      <w:r>
        <w:rPr>
          <w:rFonts w:hint="eastAsia" w:ascii="仿宋_GB2312" w:hAnsi="仿宋_GB2312" w:eastAsia="仿宋_GB2312" w:cs="仿宋_GB2312"/>
          <w:sz w:val="32"/>
          <w:szCs w:val="32"/>
        </w:rPr>
        <w:t xml:space="preserve">    不设内设机构，行政编制5名，领导职数3名。</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1"/>
        <w:gridCol w:w="1561"/>
        <w:gridCol w:w="1432"/>
        <w:gridCol w:w="1152"/>
        <w:gridCol w:w="1226"/>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2"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32"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2"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0"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122"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4"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947.24</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476.44</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476.44</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947.24</w:t>
            </w:r>
          </w:p>
        </w:tc>
        <w:tc>
          <w:tcPr>
            <w:tcW w:w="1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947.24</w:t>
            </w:r>
          </w:p>
        </w:tc>
        <w:tc>
          <w:tcPr>
            <w:tcW w:w="12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947.24</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24"/>
        <w:gridCol w:w="2421"/>
        <w:gridCol w:w="1295"/>
        <w:gridCol w:w="1304"/>
        <w:gridCol w:w="1284"/>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4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388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Style w:val="14"/>
                <w:lang w:val="en-US" w:eastAsia="zh-CN" w:bidi="ar"/>
              </w:rPr>
              <w:t>7年预算数</w:t>
            </w:r>
          </w:p>
        </w:tc>
        <w:tc>
          <w:tcPr>
            <w:tcW w:w="10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0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24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政法委</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947.24</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844.24</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2040201</w:t>
            </w:r>
          </w:p>
        </w:tc>
        <w:tc>
          <w:tcPr>
            <w:tcW w:w="24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24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428.44</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360.44</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2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2049901</w:t>
            </w:r>
          </w:p>
        </w:tc>
        <w:tc>
          <w:tcPr>
            <w:tcW w:w="2421"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24"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其他政府办公厅（室）及相关机构事务支出</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2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2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947.24</w:t>
            </w:r>
          </w:p>
        </w:tc>
        <w:tc>
          <w:tcPr>
            <w:tcW w:w="13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844.24</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103</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7"/>
        <w:gridCol w:w="2089"/>
        <w:gridCol w:w="1200"/>
        <w:gridCol w:w="1283"/>
        <w:gridCol w:w="1450"/>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8336" w:type="dxa"/>
            <w:gridSpan w:val="6"/>
            <w:vMerge w:val="restart"/>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8336" w:type="dxa"/>
            <w:gridSpan w:val="6"/>
            <w:vMerge w:val="continue"/>
            <w:shd w:val="clear"/>
            <w:vAlign w:val="bottom"/>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 w:hRule="atLeast"/>
        </w:trPr>
        <w:tc>
          <w:tcPr>
            <w:tcW w:w="8336" w:type="dxa"/>
            <w:gridSpan w:val="6"/>
            <w:vMerge w:val="continue"/>
            <w:shd w:val="clear"/>
            <w:vAlign w:val="bottom"/>
          </w:tcPr>
          <w:p>
            <w:pPr>
              <w:jc w:val="center"/>
              <w:rPr>
                <w:rFonts w:hint="eastAsia"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67" w:type="dxa"/>
            <w:shd w:val="clear"/>
            <w:vAlign w:val="bottom"/>
          </w:tcPr>
          <w:p>
            <w:pPr>
              <w:jc w:val="both"/>
              <w:rPr>
                <w:rFonts w:hint="eastAsia" w:ascii="宋体" w:hAnsi="宋体" w:eastAsia="宋体" w:cs="宋体"/>
                <w:i w:val="0"/>
                <w:color w:val="000000"/>
                <w:sz w:val="21"/>
                <w:szCs w:val="21"/>
                <w:u w:val="none"/>
              </w:rPr>
            </w:pPr>
          </w:p>
        </w:tc>
        <w:tc>
          <w:tcPr>
            <w:tcW w:w="2089" w:type="dxa"/>
            <w:shd w:val="clear"/>
            <w:vAlign w:val="bottom"/>
          </w:tcPr>
          <w:p>
            <w:pPr>
              <w:jc w:val="both"/>
              <w:rPr>
                <w:rFonts w:hint="eastAsia" w:ascii="宋体" w:hAnsi="宋体" w:eastAsia="宋体" w:cs="宋体"/>
                <w:i w:val="0"/>
                <w:color w:val="000000"/>
                <w:sz w:val="22"/>
                <w:szCs w:val="22"/>
                <w:u w:val="none"/>
              </w:rPr>
            </w:pPr>
          </w:p>
        </w:tc>
        <w:tc>
          <w:tcPr>
            <w:tcW w:w="1200" w:type="dxa"/>
            <w:shd w:val="clear"/>
            <w:vAlign w:val="bottom"/>
          </w:tcPr>
          <w:p>
            <w:pPr>
              <w:jc w:val="both"/>
              <w:rPr>
                <w:rFonts w:hint="eastAsia" w:ascii="宋体" w:hAnsi="宋体" w:eastAsia="宋体" w:cs="宋体"/>
                <w:i w:val="0"/>
                <w:color w:val="000000"/>
                <w:sz w:val="22"/>
                <w:szCs w:val="22"/>
                <w:u w:val="none"/>
              </w:rPr>
            </w:pPr>
          </w:p>
        </w:tc>
        <w:tc>
          <w:tcPr>
            <w:tcW w:w="1283" w:type="dxa"/>
            <w:shd w:val="clear"/>
            <w:vAlign w:val="bottom"/>
          </w:tcPr>
          <w:p>
            <w:pPr>
              <w:jc w:val="both"/>
              <w:rPr>
                <w:rFonts w:hint="eastAsia" w:ascii="宋体" w:hAnsi="宋体" w:eastAsia="宋体" w:cs="宋体"/>
                <w:i w:val="0"/>
                <w:color w:val="000000"/>
                <w:sz w:val="22"/>
                <w:szCs w:val="22"/>
                <w:u w:val="none"/>
              </w:rPr>
            </w:pPr>
          </w:p>
        </w:tc>
        <w:tc>
          <w:tcPr>
            <w:tcW w:w="2897"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56"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3933"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2017年基本支出</w:t>
            </w:r>
          </w:p>
        </w:tc>
        <w:tc>
          <w:tcPr>
            <w:tcW w:w="1447"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8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5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447"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180.5</w:t>
            </w:r>
          </w:p>
        </w:tc>
        <w:tc>
          <w:tcPr>
            <w:tcW w:w="128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189.37</w:t>
            </w:r>
          </w:p>
        </w:tc>
        <w:tc>
          <w:tcPr>
            <w:tcW w:w="1450"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46.54</w:t>
            </w:r>
          </w:p>
        </w:tc>
        <w:tc>
          <w:tcPr>
            <w:tcW w:w="128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46.54</w:t>
            </w:r>
          </w:p>
        </w:tc>
        <w:tc>
          <w:tcPr>
            <w:tcW w:w="145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118.32</w:t>
            </w:r>
          </w:p>
        </w:tc>
        <w:tc>
          <w:tcPr>
            <w:tcW w:w="128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118.32</w:t>
            </w:r>
          </w:p>
        </w:tc>
        <w:tc>
          <w:tcPr>
            <w:tcW w:w="145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15.64</w:t>
            </w:r>
          </w:p>
        </w:tc>
        <w:tc>
          <w:tcPr>
            <w:tcW w:w="128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15.64</w:t>
            </w:r>
          </w:p>
        </w:tc>
        <w:tc>
          <w:tcPr>
            <w:tcW w:w="145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8.87</w:t>
            </w:r>
          </w:p>
        </w:tc>
        <w:tc>
          <w:tcPr>
            <w:tcW w:w="128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8.87</w:t>
            </w:r>
          </w:p>
        </w:tc>
        <w:tc>
          <w:tcPr>
            <w:tcW w:w="1450"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171.71</w:t>
            </w:r>
          </w:p>
        </w:tc>
        <w:tc>
          <w:tcPr>
            <w:tcW w:w="1283"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45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19.6</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55.4</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55.4</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3.21</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3.21</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55.6</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0.5</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其他商品服务支出</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283"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对个人和家庭的补助</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492.03</w:t>
            </w:r>
          </w:p>
        </w:tc>
        <w:tc>
          <w:tcPr>
            <w:tcW w:w="1283"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45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4.3</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867"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2089"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492.03</w:t>
            </w:r>
          </w:p>
        </w:tc>
        <w:tc>
          <w:tcPr>
            <w:tcW w:w="1283"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45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492.03</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956"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0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844.24</w:t>
            </w:r>
          </w:p>
        </w:tc>
        <w:tc>
          <w:tcPr>
            <w:tcW w:w="1283"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189.37</w:t>
            </w:r>
          </w:p>
        </w:tc>
        <w:tc>
          <w:tcPr>
            <w:tcW w:w="145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19.6</w:t>
            </w:r>
          </w:p>
        </w:tc>
        <w:tc>
          <w:tcPr>
            <w:tcW w:w="1447"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7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0"/>
        <w:gridCol w:w="1854"/>
        <w:gridCol w:w="827"/>
        <w:gridCol w:w="827"/>
        <w:gridCol w:w="827"/>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7965"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8"/>
                <w:szCs w:val="48"/>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860"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54" w:type="dxa"/>
            <w:shd w:val="clear"/>
            <w:vAlign w:val="center"/>
          </w:tcPr>
          <w:p>
            <w:pPr>
              <w:rPr>
                <w:rFonts w:hint="eastAsia" w:ascii="宋体" w:hAnsi="宋体" w:eastAsia="宋体" w:cs="宋体"/>
                <w:i w:val="0"/>
                <w:color w:val="000000"/>
                <w:sz w:val="18"/>
                <w:szCs w:val="18"/>
                <w:u w:val="none"/>
              </w:rPr>
            </w:pPr>
          </w:p>
        </w:tc>
        <w:tc>
          <w:tcPr>
            <w:tcW w:w="827" w:type="dxa"/>
            <w:shd w:val="clear"/>
            <w:vAlign w:val="center"/>
          </w:tcPr>
          <w:p>
            <w:pPr>
              <w:rPr>
                <w:rFonts w:hint="eastAsia" w:ascii="宋体" w:hAnsi="宋体" w:eastAsia="宋体" w:cs="宋体"/>
                <w:i w:val="0"/>
                <w:color w:val="000000"/>
                <w:sz w:val="18"/>
                <w:szCs w:val="18"/>
                <w:u w:val="none"/>
              </w:rPr>
            </w:pPr>
          </w:p>
        </w:tc>
        <w:tc>
          <w:tcPr>
            <w:tcW w:w="827" w:type="dxa"/>
            <w:shd w:val="clear"/>
            <w:vAlign w:val="center"/>
          </w:tcPr>
          <w:p>
            <w:pPr>
              <w:rPr>
                <w:rFonts w:hint="eastAsia" w:ascii="宋体" w:hAnsi="宋体" w:eastAsia="宋体" w:cs="宋体"/>
                <w:i w:val="0"/>
                <w:color w:val="000000"/>
                <w:sz w:val="18"/>
                <w:szCs w:val="18"/>
                <w:u w:val="none"/>
              </w:rPr>
            </w:pPr>
          </w:p>
        </w:tc>
        <w:tc>
          <w:tcPr>
            <w:tcW w:w="2597"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5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8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42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371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7965"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注：乃东区政法委2017年没有使用政府性基金安排的支出，故本表无数据。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04"/>
        <w:gridCol w:w="2542"/>
        <w:gridCol w:w="1943"/>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2504" w:type="dxa"/>
            <w:shd w:val="clear"/>
            <w:vAlign w:val="center"/>
          </w:tcPr>
          <w:p>
            <w:pPr>
              <w:jc w:val="left"/>
              <w:rPr>
                <w:rFonts w:hint="eastAsia" w:ascii="宋体" w:hAnsi="宋体" w:eastAsia="宋体" w:cs="宋体"/>
                <w:i w:val="0"/>
                <w:color w:val="000000"/>
                <w:sz w:val="21"/>
                <w:szCs w:val="21"/>
                <w:u w:val="none"/>
              </w:rPr>
            </w:pPr>
          </w:p>
        </w:tc>
        <w:tc>
          <w:tcPr>
            <w:tcW w:w="2542" w:type="dxa"/>
            <w:shd w:val="clear"/>
            <w:vAlign w:val="bottom"/>
          </w:tcPr>
          <w:p>
            <w:pPr>
              <w:rPr>
                <w:rFonts w:hint="eastAsia" w:ascii="宋体" w:hAnsi="宋体" w:eastAsia="宋体" w:cs="宋体"/>
                <w:i w:val="0"/>
                <w:color w:val="000000"/>
                <w:sz w:val="18"/>
                <w:szCs w:val="18"/>
                <w:u w:val="none"/>
              </w:rPr>
            </w:pPr>
          </w:p>
        </w:tc>
        <w:tc>
          <w:tcPr>
            <w:tcW w:w="1943" w:type="dxa"/>
            <w:shd w:val="clear"/>
            <w:vAlign w:val="bottom"/>
          </w:tcPr>
          <w:p>
            <w:pPr>
              <w:rPr>
                <w:rFonts w:hint="eastAsia" w:ascii="宋体" w:hAnsi="宋体" w:eastAsia="宋体" w:cs="宋体"/>
                <w:i w:val="0"/>
                <w:color w:val="000000"/>
                <w:sz w:val="18"/>
                <w:szCs w:val="18"/>
                <w:u w:val="none"/>
              </w:rPr>
            </w:pPr>
          </w:p>
        </w:tc>
        <w:tc>
          <w:tcPr>
            <w:tcW w:w="1201"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0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1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947.24</w:t>
            </w: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947.24</w:t>
            </w: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5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5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947.24</w:t>
            </w:r>
          </w:p>
        </w:tc>
        <w:tc>
          <w:tcPr>
            <w:tcW w:w="19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947.24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2179"/>
        <w:gridCol w:w="965"/>
        <w:gridCol w:w="455"/>
        <w:gridCol w:w="1081"/>
        <w:gridCol w:w="611"/>
        <w:gridCol w:w="370"/>
        <w:gridCol w:w="455"/>
        <w:gridCol w:w="331"/>
        <w:gridCol w:w="346"/>
        <w:gridCol w:w="300"/>
        <w:gridCol w:w="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2179" w:type="dxa"/>
            <w:shd w:val="clear"/>
            <w:vAlign w:val="bottom"/>
          </w:tcPr>
          <w:p>
            <w:pPr>
              <w:rPr>
                <w:rFonts w:hint="eastAsia" w:ascii="宋体" w:hAnsi="宋体" w:eastAsia="宋体" w:cs="宋体"/>
                <w:i w:val="0"/>
                <w:color w:val="000000"/>
                <w:sz w:val="18"/>
                <w:szCs w:val="18"/>
                <w:u w:val="none"/>
              </w:rPr>
            </w:pPr>
          </w:p>
        </w:tc>
        <w:tc>
          <w:tcPr>
            <w:tcW w:w="965" w:type="dxa"/>
            <w:shd w:val="clear"/>
            <w:vAlign w:val="bottom"/>
          </w:tcPr>
          <w:p>
            <w:pPr>
              <w:rPr>
                <w:rFonts w:hint="eastAsia" w:ascii="宋体" w:hAnsi="宋体" w:eastAsia="宋体" w:cs="宋体"/>
                <w:i w:val="0"/>
                <w:color w:val="000000"/>
                <w:sz w:val="18"/>
                <w:szCs w:val="18"/>
                <w:u w:val="none"/>
              </w:rPr>
            </w:pPr>
          </w:p>
        </w:tc>
        <w:tc>
          <w:tcPr>
            <w:tcW w:w="455" w:type="dxa"/>
            <w:shd w:val="clear"/>
            <w:vAlign w:val="bottom"/>
          </w:tcPr>
          <w:p>
            <w:pPr>
              <w:rPr>
                <w:rFonts w:hint="eastAsia" w:ascii="宋体" w:hAnsi="宋体" w:eastAsia="宋体" w:cs="宋体"/>
                <w:i w:val="0"/>
                <w:color w:val="000000"/>
                <w:sz w:val="18"/>
                <w:szCs w:val="18"/>
                <w:u w:val="none"/>
              </w:rPr>
            </w:pPr>
          </w:p>
        </w:tc>
        <w:tc>
          <w:tcPr>
            <w:tcW w:w="1081" w:type="dxa"/>
            <w:shd w:val="clear"/>
            <w:vAlign w:val="bottom"/>
          </w:tcPr>
          <w:p>
            <w:pPr>
              <w:rPr>
                <w:rFonts w:hint="eastAsia" w:ascii="宋体" w:hAnsi="宋体" w:eastAsia="宋体" w:cs="宋体"/>
                <w:i w:val="0"/>
                <w:color w:val="000000"/>
                <w:sz w:val="18"/>
                <w:szCs w:val="18"/>
                <w:u w:val="none"/>
              </w:rPr>
            </w:pPr>
          </w:p>
        </w:tc>
        <w:tc>
          <w:tcPr>
            <w:tcW w:w="611" w:type="dxa"/>
            <w:shd w:val="clear"/>
            <w:vAlign w:val="bottom"/>
          </w:tcPr>
          <w:p>
            <w:pPr>
              <w:rPr>
                <w:rFonts w:hint="eastAsia" w:ascii="宋体" w:hAnsi="宋体" w:eastAsia="宋体" w:cs="宋体"/>
                <w:i w:val="0"/>
                <w:color w:val="000000"/>
                <w:sz w:val="18"/>
                <w:szCs w:val="18"/>
                <w:u w:val="none"/>
              </w:rPr>
            </w:pPr>
          </w:p>
        </w:tc>
        <w:tc>
          <w:tcPr>
            <w:tcW w:w="370" w:type="dxa"/>
            <w:shd w:val="clear"/>
            <w:vAlign w:val="bottom"/>
          </w:tcPr>
          <w:p>
            <w:pPr>
              <w:rPr>
                <w:rFonts w:hint="eastAsia" w:ascii="宋体" w:hAnsi="宋体" w:eastAsia="宋体" w:cs="宋体"/>
                <w:i w:val="0"/>
                <w:color w:val="000000"/>
                <w:sz w:val="18"/>
                <w:szCs w:val="18"/>
                <w:u w:val="none"/>
              </w:rPr>
            </w:pPr>
          </w:p>
        </w:tc>
        <w:tc>
          <w:tcPr>
            <w:tcW w:w="455" w:type="dxa"/>
            <w:shd w:val="clear"/>
            <w:vAlign w:val="bottom"/>
          </w:tcPr>
          <w:p>
            <w:pPr>
              <w:rPr>
                <w:rFonts w:hint="eastAsia" w:ascii="宋体" w:hAnsi="宋体" w:eastAsia="宋体" w:cs="宋体"/>
                <w:i w:val="0"/>
                <w:color w:val="000000"/>
                <w:sz w:val="18"/>
                <w:szCs w:val="18"/>
                <w:u w:val="none"/>
              </w:rPr>
            </w:pPr>
          </w:p>
        </w:tc>
        <w:tc>
          <w:tcPr>
            <w:tcW w:w="331" w:type="dxa"/>
            <w:shd w:val="clear"/>
            <w:vAlign w:val="bottom"/>
          </w:tcPr>
          <w:p>
            <w:pPr>
              <w:rPr>
                <w:rFonts w:hint="eastAsia" w:ascii="宋体" w:hAnsi="宋体" w:eastAsia="宋体" w:cs="宋体"/>
                <w:i w:val="0"/>
                <w:color w:val="000000"/>
                <w:sz w:val="18"/>
                <w:szCs w:val="18"/>
                <w:u w:val="none"/>
              </w:rPr>
            </w:pPr>
          </w:p>
        </w:tc>
        <w:tc>
          <w:tcPr>
            <w:tcW w:w="346" w:type="dxa"/>
            <w:shd w:val="clear"/>
            <w:vAlign w:val="bottom"/>
          </w:tcPr>
          <w:p>
            <w:pPr>
              <w:rPr>
                <w:rFonts w:hint="eastAsia" w:ascii="宋体" w:hAnsi="宋体" w:eastAsia="宋体" w:cs="宋体"/>
                <w:i w:val="0"/>
                <w:color w:val="000000"/>
                <w:sz w:val="18"/>
                <w:szCs w:val="18"/>
                <w:u w:val="none"/>
              </w:rPr>
            </w:pPr>
          </w:p>
        </w:tc>
        <w:tc>
          <w:tcPr>
            <w:tcW w:w="778"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179"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2179"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政法委</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947.24</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947.24</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2040201</w:t>
            </w:r>
          </w:p>
        </w:tc>
        <w:tc>
          <w:tcPr>
            <w:tcW w:w="2179"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2179"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428.44</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428.44</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2049901</w:t>
            </w:r>
          </w:p>
        </w:tc>
        <w:tc>
          <w:tcPr>
            <w:tcW w:w="2179"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179"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其他政府办公厅（室）及相关机构事务支出</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1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1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947.24</w:t>
            </w: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947.24</w:t>
            </w:r>
          </w:p>
        </w:tc>
        <w:tc>
          <w:tcPr>
            <w:tcW w:w="61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4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0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0"/>
        <w:gridCol w:w="2410"/>
        <w:gridCol w:w="1028"/>
        <w:gridCol w:w="957"/>
        <w:gridCol w:w="660"/>
        <w:gridCol w:w="851"/>
        <w:gridCol w:w="74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2017年乃东区政法委部门支出总表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0" w:type="dxa"/>
            <w:shd w:val="clear"/>
            <w:vAlign w:val="center"/>
          </w:tcPr>
          <w:p>
            <w:pPr>
              <w:jc w:val="left"/>
              <w:rPr>
                <w:rFonts w:hint="eastAsia" w:ascii="宋体" w:hAnsi="宋体" w:eastAsia="宋体" w:cs="宋体"/>
                <w:i w:val="0"/>
                <w:color w:val="000000"/>
                <w:sz w:val="21"/>
                <w:szCs w:val="21"/>
                <w:u w:val="none"/>
              </w:rPr>
            </w:pPr>
          </w:p>
        </w:tc>
        <w:tc>
          <w:tcPr>
            <w:tcW w:w="2410" w:type="dxa"/>
            <w:shd w:val="clear"/>
            <w:vAlign w:val="center"/>
          </w:tcPr>
          <w:p>
            <w:pPr>
              <w:rPr>
                <w:rFonts w:hint="eastAsia" w:ascii="宋体" w:hAnsi="宋体" w:eastAsia="宋体" w:cs="宋体"/>
                <w:i w:val="0"/>
                <w:color w:val="000000"/>
                <w:sz w:val="22"/>
                <w:szCs w:val="22"/>
                <w:u w:val="none"/>
              </w:rPr>
            </w:pPr>
          </w:p>
        </w:tc>
        <w:tc>
          <w:tcPr>
            <w:tcW w:w="1028" w:type="dxa"/>
            <w:shd w:val="clear"/>
            <w:vAlign w:val="center"/>
          </w:tcPr>
          <w:p>
            <w:pPr>
              <w:rPr>
                <w:rFonts w:hint="eastAsia" w:ascii="宋体" w:hAnsi="宋体" w:eastAsia="宋体" w:cs="宋体"/>
                <w:i w:val="0"/>
                <w:color w:val="000000"/>
                <w:sz w:val="22"/>
                <w:szCs w:val="22"/>
                <w:u w:val="none"/>
              </w:rPr>
            </w:pPr>
          </w:p>
        </w:tc>
        <w:tc>
          <w:tcPr>
            <w:tcW w:w="957" w:type="dxa"/>
            <w:shd w:val="clear"/>
            <w:vAlign w:val="center"/>
          </w:tcPr>
          <w:p>
            <w:pPr>
              <w:rPr>
                <w:rFonts w:hint="eastAsia" w:ascii="宋体" w:hAnsi="宋体" w:eastAsia="宋体" w:cs="宋体"/>
                <w:i w:val="0"/>
                <w:color w:val="000000"/>
                <w:sz w:val="22"/>
                <w:szCs w:val="22"/>
                <w:u w:val="none"/>
              </w:rPr>
            </w:pPr>
          </w:p>
        </w:tc>
        <w:tc>
          <w:tcPr>
            <w:tcW w:w="660" w:type="dxa"/>
            <w:shd w:val="clear"/>
            <w:vAlign w:val="center"/>
          </w:tcPr>
          <w:p>
            <w:pPr>
              <w:rPr>
                <w:rFonts w:hint="eastAsia" w:ascii="宋体" w:hAnsi="宋体" w:eastAsia="宋体" w:cs="宋体"/>
                <w:i w:val="0"/>
                <w:color w:val="000000"/>
                <w:sz w:val="22"/>
                <w:szCs w:val="22"/>
                <w:u w:val="none"/>
              </w:rPr>
            </w:pPr>
          </w:p>
        </w:tc>
        <w:tc>
          <w:tcPr>
            <w:tcW w:w="851" w:type="dxa"/>
            <w:shd w:val="clear"/>
            <w:vAlign w:val="center"/>
          </w:tcPr>
          <w:p>
            <w:pPr>
              <w:rPr>
                <w:rFonts w:hint="eastAsia" w:ascii="宋体" w:hAnsi="宋体" w:eastAsia="宋体" w:cs="宋体"/>
                <w:i w:val="0"/>
                <w:color w:val="000000"/>
                <w:sz w:val="22"/>
                <w:szCs w:val="22"/>
                <w:u w:val="none"/>
              </w:rPr>
            </w:pPr>
          </w:p>
        </w:tc>
        <w:tc>
          <w:tcPr>
            <w:tcW w:w="160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4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1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241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政法委</w:t>
            </w: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947.24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844.24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2040201</w:t>
            </w:r>
          </w:p>
        </w:tc>
        <w:tc>
          <w:tcPr>
            <w:tcW w:w="241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2040299</w:t>
            </w:r>
          </w:p>
        </w:tc>
        <w:tc>
          <w:tcPr>
            <w:tcW w:w="241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其他公安支出</w:t>
            </w: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428.44</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360.44</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2049901</w:t>
            </w:r>
          </w:p>
        </w:tc>
        <w:tc>
          <w:tcPr>
            <w:tcW w:w="241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其他公共安全支出</w:t>
            </w: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其他政府办公厅（室）及相关机构事务支出</w:t>
            </w: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470.8</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947.24 </w:t>
            </w:r>
          </w:p>
        </w:tc>
        <w:tc>
          <w:tcPr>
            <w:tcW w:w="9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844.24 </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103.00 </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中共乃东区委政法委2017年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中共乃东区委政法委2017年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一般公共服务支出470.8万元，公共安全支出476.44万元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1"/>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180.5</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171.71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对个人和家庭的补助支出492.03万元、项目支出103万元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农林水事务一般公共服务支出470.8</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公共安全支出476.44万元，占总比50.3%</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04政法委支出947.24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2040201行政运行13万元，2040299其他公安支出428.44万元，2049901其他公共安全支出35万元，2010399其他政府办公厅（室）及相关机构事务支出470.8万元。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844.24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180.5</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46.54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118.32</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15.64</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8.87</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171.71</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55.4</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万元，水费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电费15.6万元，邮电费3.21万元，差旅费55.6万元，维修（护）费10.2万元，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其他商品服务支出15万元；对个人和家庭的补助492.03万元包括：生活补助492.03万元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2017年三公经费预算合计3.5万元，同比增加0.0004万元，上升0.11%。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增加的原因主要一是车辆老化严重，致使车辆的修理费、燃油费增加。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二是需要执行的相关工作增加，下乡次数增多，致使油料费增加。 </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中共乃东区委政法委2017年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844.24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844.24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103</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947.24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一般公共服务支出470.8万元，公共安全支出476.44万元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2017年政法委机关运行经费预算为10.08万元，与2016年18.2万元相比减少8.12万元，减少44.62%。</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0310DC4"/>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51"/>
    <w:basedOn w:val="5"/>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1</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2018-12-20T06:59:35Z</cp:lastPrinted>
  <dcterms:modified xsi:type="dcterms:W3CDTF">2018-12-20T07:10:28Z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