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乃东区文化新闻出版广电局（文物局）</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乃东区文化新闻出版广电局（文物局）2017年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乃东区文化新闻出版广电局（文物局）2017年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rPr>
        <w:t>根据《中共山南市委办公室 山南市人民政府办公室关于印发〈乃东区政府职能转变和机构改革方案〉的通知》</w:t>
      </w:r>
      <w:r>
        <w:rPr>
          <w:rFonts w:eastAsia="仿宋_GB2312"/>
          <w:sz w:val="32"/>
          <w:szCs w:val="32"/>
          <w:shd w:val="clear" w:color="auto" w:fill="FFFFFF"/>
        </w:rPr>
        <w:t>（</w:t>
      </w:r>
      <w:r>
        <w:rPr>
          <w:rFonts w:hint="eastAsia" w:ascii="仿宋_GB2312" w:hAnsi="仿宋_GB2312" w:eastAsia="仿宋_GB2312" w:cs="仿宋_GB2312"/>
          <w:sz w:val="32"/>
        </w:rPr>
        <w:t>山委办〔2016〕74号</w:t>
      </w:r>
      <w:r>
        <w:rPr>
          <w:rFonts w:ascii="宋体" w:hAnsi="宋体" w:eastAsia="仿宋_GB2312"/>
          <w:sz w:val="32"/>
        </w:rPr>
        <w:t>）</w:t>
      </w:r>
      <w:r>
        <w:rPr>
          <w:rFonts w:hint="eastAsia" w:ascii="仿宋_GB2312" w:hAnsi="仿宋_GB2312" w:eastAsia="仿宋_GB2312" w:cs="仿宋_GB2312"/>
          <w:sz w:val="32"/>
        </w:rPr>
        <w:t>精神，</w:t>
      </w:r>
      <w:r>
        <w:rPr>
          <w:rFonts w:hint="eastAsia" w:ascii="仿宋_GB2312" w:hAnsi="仿宋_GB2312" w:eastAsia="仿宋_GB2312" w:cs="仿宋_GB2312"/>
          <w:sz w:val="32"/>
          <w:szCs w:val="32"/>
        </w:rPr>
        <w:t>设立乃东区文化新闻出版广电局（文物局</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,正科级，为乃东区人民政府工作部门。</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一、职责调整</w:t>
      </w:r>
    </w:p>
    <w:p>
      <w:pPr>
        <w:numPr>
          <w:ilvl w:val="0"/>
          <w:numId w:val="0"/>
        </w:numPr>
        <w:spacing w:line="576" w:lineRule="exact"/>
        <w:rPr>
          <w:rFonts w:hint="eastAsia" w:ascii="仿宋_GB2312" w:hAnsi="仿宋_GB2312" w:eastAsia="仿宋_GB2312" w:cs="仿宋_GB2312"/>
          <w:sz w:val="32"/>
          <w:szCs w:val="32"/>
          <w:lang w:eastAsia="zh-CN"/>
        </w:rPr>
      </w:pPr>
      <w:r>
        <w:rPr>
          <w:rFonts w:hint="eastAsia" w:ascii="仿宋_GB2312" w:hAnsi="仿宋_GB2312" w:eastAsia="仿宋_GB2312"/>
          <w:sz w:val="32"/>
          <w:lang w:val="en-US" w:eastAsia="zh-CN"/>
        </w:rPr>
        <w:t xml:space="preserve">    （一）</w:t>
      </w:r>
      <w:r>
        <w:rPr>
          <w:rFonts w:hint="eastAsia" w:ascii="仿宋_GB2312" w:hAnsi="仿宋_GB2312" w:eastAsia="仿宋_GB2312"/>
          <w:sz w:val="32"/>
        </w:rPr>
        <w:t>取消已由国务院、自治区、市人民政府公布取消的</w:t>
      </w:r>
      <w:r>
        <w:rPr>
          <w:rFonts w:hint="eastAsia" w:ascii="仿宋_GB2312" w:hAnsi="仿宋_GB2312" w:eastAsia="仿宋_GB2312" w:cs="仿宋_GB2312"/>
          <w:sz w:val="32"/>
          <w:szCs w:val="32"/>
        </w:rPr>
        <w:t>行政审批事项。</w:t>
      </w:r>
      <w:r>
        <w:rPr>
          <w:rFonts w:hint="eastAsia" w:ascii="仿宋_GB2312" w:hAnsi="仿宋_GB2312" w:eastAsia="仿宋_GB2312" w:cs="仿宋_GB2312"/>
          <w:sz w:val="32"/>
          <w:szCs w:val="32"/>
          <w:lang w:eastAsia="zh-CN"/>
        </w:rPr>
        <w:t>取消文物保护单位拍摄许可职责。</w:t>
      </w:r>
    </w:p>
    <w:p>
      <w:pPr>
        <w:numPr>
          <w:ilvl w:val="0"/>
          <w:numId w:val="0"/>
        </w:num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（二）取消文物单位保护拍摄许可职责。</w:t>
      </w:r>
    </w:p>
    <w:p>
      <w:pPr>
        <w:numPr>
          <w:ilvl w:val="0"/>
          <w:numId w:val="0"/>
        </w:num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宋体" w:hAnsi="宋体" w:eastAsia="仿宋_GB2312"/>
          <w:sz w:val="32"/>
          <w:lang w:eastAsia="zh-CN"/>
        </w:rPr>
        <w:t>三</w:t>
      </w:r>
      <w:r>
        <w:rPr>
          <w:rFonts w:hint="eastAsia" w:ascii="仿宋_GB2312" w:hAnsi="仿宋_GB2312" w:eastAsia="仿宋_GB2312" w:cs="仿宋_GB2312"/>
          <w:sz w:val="32"/>
          <w:szCs w:val="32"/>
          <w:lang w:val="en-US" w:eastAsia="zh-CN"/>
        </w:rPr>
        <w:t>）取消改建、拆除电影院和放映设施审批职责。</w:t>
      </w:r>
    </w:p>
    <w:p>
      <w:pPr>
        <w:spacing w:line="576" w:lineRule="exact"/>
        <w:ind w:firstLine="640" w:firstLineChars="200"/>
        <w:rPr>
          <w:rFonts w:hint="eastAsia" w:ascii="仿宋_GB2312" w:hAnsi="仿宋_GB2312" w:eastAsia="仿宋_GB2312" w:cs="仿宋_GB2312"/>
          <w:sz w:val="32"/>
          <w:szCs w:val="32"/>
        </w:rPr>
      </w:pPr>
      <w:r>
        <w:rPr>
          <w:rFonts w:hint="eastAsia" w:ascii="宋体" w:hAnsi="宋体" w:eastAsia="仿宋_GB2312"/>
          <w:sz w:val="32"/>
        </w:rPr>
        <w:t>（</w:t>
      </w:r>
      <w:r>
        <w:rPr>
          <w:rFonts w:hint="eastAsia" w:ascii="仿宋_GB2312" w:hAnsi="仿宋_GB2312" w:eastAsia="仿宋_GB2312" w:cs="仿宋_GB2312"/>
          <w:sz w:val="32"/>
          <w:szCs w:val="32"/>
          <w:lang w:eastAsia="zh-CN"/>
        </w:rPr>
        <w:t>四</w:t>
      </w:r>
      <w:r>
        <w:rPr>
          <w:rFonts w:hint="eastAsia" w:ascii="宋体" w:hAnsi="宋体" w:eastAsia="仿宋_GB2312"/>
          <w:sz w:val="32"/>
        </w:rPr>
        <w:t>）</w:t>
      </w:r>
      <w:r>
        <w:rPr>
          <w:rFonts w:ascii="宋体" w:hAnsi="宋体" w:eastAsia="仿宋_GB2312"/>
          <w:sz w:val="32"/>
        </w:rPr>
        <w:t>将</w:t>
      </w:r>
      <w:r>
        <w:rPr>
          <w:rFonts w:hint="eastAsia" w:ascii="宋体" w:hAnsi="宋体" w:eastAsia="仿宋_GB2312"/>
          <w:sz w:val="32"/>
        </w:rPr>
        <w:t>区</w:t>
      </w:r>
      <w:r>
        <w:rPr>
          <w:rFonts w:ascii="宋体" w:hAnsi="宋体" w:eastAsia="仿宋_GB2312"/>
          <w:sz w:val="32"/>
        </w:rPr>
        <w:t>文化广播电影电视局（新闻出版局、文物局）的职责划入区文化新闻出版广电局（文物局</w:t>
      </w:r>
      <w:r>
        <w:rPr>
          <w:rFonts w:hint="eastAsia" w:ascii="仿宋_GB2312" w:hAnsi="仿宋_GB2312" w:eastAsia="仿宋_GB2312" w:cs="仿宋_GB2312"/>
          <w:kern w:val="0"/>
          <w:sz w:val="32"/>
          <w:szCs w:val="32"/>
        </w:rPr>
        <w:t>）</w:t>
      </w:r>
      <w:r>
        <w:rPr>
          <w:rFonts w:hint="eastAsia" w:ascii="宋体" w:hAnsi="宋体" w:eastAsia="仿宋_GB2312"/>
          <w:sz w:val="32"/>
        </w:rPr>
        <w:t>。</w:t>
      </w: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宋体" w:hAnsi="宋体" w:eastAsia="仿宋_GB2312"/>
          <w:sz w:val="32"/>
          <w:lang w:eastAsia="zh-CN"/>
        </w:rPr>
        <w:t>五</w:t>
      </w:r>
      <w:r>
        <w:rPr>
          <w:rFonts w:hint="eastAsia" w:ascii="仿宋_GB2312" w:hAnsi="仿宋_GB2312" w:eastAsia="仿宋_GB2312" w:cs="仿宋_GB2312"/>
          <w:sz w:val="32"/>
          <w:szCs w:val="32"/>
        </w:rPr>
        <w:t>）加强古建筑的管理。</w:t>
      </w:r>
    </w:p>
    <w:p>
      <w:pPr>
        <w:spacing w:line="576" w:lineRule="exact"/>
        <w:rPr>
          <w:rFonts w:hint="eastAsia" w:ascii="宋体" w:hAnsi="宋体" w:eastAsia="仿宋_GB2312"/>
          <w:sz w:val="32"/>
        </w:rPr>
      </w:pPr>
      <w:r>
        <w:rPr>
          <w:rFonts w:hint="eastAsia" w:ascii="仿宋_GB2312" w:hAnsi="仿宋_GB2312" w:eastAsia="仿宋_GB2312" w:cs="仿宋_GB2312"/>
          <w:sz w:val="32"/>
          <w:szCs w:val="32"/>
        </w:rPr>
        <w:t xml:space="preserve">    </w:t>
      </w:r>
      <w:r>
        <w:rPr>
          <w:rFonts w:hint="eastAsia" w:ascii="宋体" w:hAnsi="宋体" w:eastAsia="仿宋_GB2312"/>
          <w:sz w:val="32"/>
        </w:rPr>
        <w:t>（</w:t>
      </w:r>
      <w:r>
        <w:rPr>
          <w:rFonts w:hint="eastAsia" w:ascii="宋体" w:hAnsi="宋体" w:eastAsia="仿宋_GB2312"/>
          <w:sz w:val="32"/>
          <w:lang w:eastAsia="zh-CN"/>
        </w:rPr>
        <w:t>六</w:t>
      </w:r>
      <w:r>
        <w:rPr>
          <w:rFonts w:hint="eastAsia" w:ascii="宋体" w:hAnsi="宋体" w:eastAsia="仿宋_GB2312"/>
          <w:sz w:val="32"/>
        </w:rPr>
        <w:t>）加强对非物质文化遗产生产性保护的职责。</w:t>
      </w:r>
    </w:p>
    <w:p>
      <w:pPr>
        <w:spacing w:line="576" w:lineRule="exact"/>
        <w:ind w:firstLine="640" w:firstLineChars="200"/>
        <w:rPr>
          <w:rFonts w:hint="eastAsia" w:ascii="宋体" w:hAnsi="宋体" w:eastAsia="仿宋_GB2312"/>
          <w:sz w:val="32"/>
        </w:rPr>
      </w:pPr>
      <w:r>
        <w:rPr>
          <w:rFonts w:hint="eastAsia" w:ascii="宋体" w:hAnsi="宋体" w:eastAsia="仿宋_GB2312"/>
          <w:sz w:val="32"/>
        </w:rPr>
        <w:t>（</w:t>
      </w:r>
      <w:r>
        <w:rPr>
          <w:rFonts w:hint="eastAsia" w:ascii="仿宋_GB2312" w:hAnsi="仿宋_GB2312" w:eastAsia="仿宋_GB2312" w:cs="仿宋_GB2312"/>
          <w:sz w:val="32"/>
          <w:szCs w:val="32"/>
          <w:lang w:val="en-US" w:eastAsia="zh-CN"/>
        </w:rPr>
        <w:t>七</w:t>
      </w:r>
      <w:r>
        <w:rPr>
          <w:rFonts w:hint="eastAsia" w:ascii="宋体" w:hAnsi="宋体" w:eastAsia="仿宋_GB2312"/>
          <w:sz w:val="32"/>
        </w:rPr>
        <w:t>）加强对公共文化服务和指导基层文化建设的职责。</w:t>
      </w:r>
    </w:p>
    <w:p>
      <w:pPr>
        <w:spacing w:line="576" w:lineRule="exact"/>
        <w:ind w:firstLine="640" w:firstLineChars="200"/>
        <w:rPr>
          <w:rFonts w:hint="eastAsia" w:ascii="楷体_GB2312" w:hAnsi="楷体_GB2312" w:eastAsia="楷体_GB2312" w:cs="楷体_GB2312"/>
          <w:b/>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主要职责</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关于文化艺术、广播电影电视工作的方针、政策和法律、法规，把握正确的舆论导向和创作导向；执行自治区关于广播电视和信息网络视听节目服务的地方性法规、规章和技术标准；推进广播电影电视领域的体制机制改革。</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（二）依法管理出版物市场，负责全区出版物市场“扫黄打非”工作，会同有关方面查处非法出版物和非法出版活动的大案、要案；打击“藏独”反动出版物及宣传品的制售、传播。</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（三）负责全区电影放映单位设立、变更业务范围及兼并、合并、分立审批工作。</w:t>
      </w:r>
    </w:p>
    <w:p>
      <w:pPr>
        <w:spacing w:line="576" w:lineRule="exact"/>
        <w:ind w:firstLine="640" w:firstLineChars="200"/>
        <w:rPr>
          <w:rFonts w:hint="eastAsia" w:ascii="仿宋_GB2312" w:hAnsi="仿宋_GB2312" w:eastAsia="仿宋_GB2312" w:cs="仿宋_GB2312"/>
          <w:strike/>
          <w:dstrike w:val="0"/>
          <w:sz w:val="32"/>
          <w:szCs w:val="32"/>
          <w:highlight w:val="red"/>
        </w:rPr>
      </w:pPr>
      <w:r>
        <w:rPr>
          <w:rFonts w:hint="eastAsia" w:ascii="仿宋_GB2312" w:hAnsi="仿宋_GB2312" w:eastAsia="仿宋_GB2312" w:cs="仿宋_GB2312"/>
          <w:strike w:val="0"/>
          <w:dstrike w:val="0"/>
          <w:sz w:val="32"/>
          <w:szCs w:val="32"/>
          <w:highlight w:val="none"/>
        </w:rPr>
        <w:t>（四）</w:t>
      </w:r>
      <w:r>
        <w:rPr>
          <w:rFonts w:hint="eastAsia" w:ascii="仿宋_GB2312" w:hAnsi="仿宋_GB2312" w:eastAsia="仿宋_GB2312" w:cs="仿宋_GB2312"/>
          <w:sz w:val="32"/>
          <w:szCs w:val="32"/>
        </w:rPr>
        <w:t>协助有关部门对广播电视市场进行宏观管理，参与重点项目建设与协调。</w:t>
      </w: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（五）对出版物零售单位设立和个体工商户变更《出版物经营许可证》登记事项及兼并、合并、分立审批。</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（六）承办全区新闻出版产业对外交流与合作。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（七）负责组织制定全区重大事件报道计划，并监督实施。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（八）指导全区广播电影电视和信息网络视听节目服务的科技工作；负责监管全区广播电视节目传输、监测和安全播出。 </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（九）监管卫星电视接收设施及境外卫星电视节目的落地与接收。</w:t>
      </w:r>
    </w:p>
    <w:p>
      <w:pPr>
        <w:widowControl/>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kern w:val="0"/>
          <w:sz w:val="32"/>
          <w:szCs w:val="32"/>
        </w:rPr>
        <w:t>贯彻落实国家、自治区和市政府有关文物保护的法律、法规、规章；起草、制订全区文物保护的具体办法并组织实施。</w:t>
      </w:r>
    </w:p>
    <w:p>
      <w:pPr>
        <w:widowControl/>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（十一）研究处理文物保护的重大课题，促进文物保护科技成果的转化和推广；管理、协调全区文物的保护、抢救、发掘、研究、出境、宣传等业务工作。</w:t>
      </w:r>
    </w:p>
    <w:p>
      <w:pPr>
        <w:widowControl/>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（十二）负责推荐、申报全区重点文物保护单位；协同区住房和城乡建设局负责历史文化名城（镇、村）保护和监督管理工作。</w:t>
      </w:r>
    </w:p>
    <w:p>
      <w:pPr>
        <w:widowControl/>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依照有关法律、法令，审核、审批和申报重点文物的发掘、保护、维修项目；组织、指导重点文物保护工程方案的论证、设计、施工、质量监督及验收；会同有关部门审批或申报文物保护单位的维修、迁移、拆除、古建筑维修设计及施工队伍资质的认定；参与全区文物勘测设计、施工、文物考古调查、勘探、考古发掘、文物鉴定。</w:t>
      </w:r>
    </w:p>
    <w:p>
      <w:pPr>
        <w:widowControl/>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（十四）督促、检查、协调全区文物安全保卫和消防、技防工作；负责全区的文物行政执法监督；配合查处盗窃、破坏、走私文物的大案要案。</w:t>
      </w:r>
    </w:p>
    <w:p>
      <w:pPr>
        <w:widowControl/>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（十五）承办区政府交办的其它事项。</w:t>
      </w:r>
    </w:p>
    <w:p>
      <w:pPr>
        <w:spacing w:line="576" w:lineRule="exact"/>
        <w:rPr>
          <w:rFonts w:hint="eastAsia" w:ascii="黑体" w:hAnsi="黑体" w:eastAsia="黑体" w:cs="黑体"/>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三、内设机构</w:t>
      </w:r>
    </w:p>
    <w:p>
      <w:pPr>
        <w:spacing w:line="576" w:lineRule="exact"/>
        <w:ind w:firstLine="640" w:firstLineChars="200"/>
        <w:rPr>
          <w:rFonts w:hint="eastAsia" w:eastAsia="仿宋_GB2312"/>
          <w:sz w:val="32"/>
        </w:rPr>
      </w:pPr>
      <w:r>
        <w:rPr>
          <w:rFonts w:hint="eastAsia" w:ascii="仿宋_GB2312" w:hAnsi="仿宋_GB2312" w:eastAsia="仿宋_GB2312" w:cs="仿宋_GB2312"/>
          <w:sz w:val="32"/>
          <w:szCs w:val="32"/>
        </w:rPr>
        <w:t>乃东区文化新闻出版广电局（文物局</w:t>
      </w:r>
      <w:r>
        <w:rPr>
          <w:rFonts w:hint="eastAsia" w:ascii="仿宋_GB2312" w:hAnsi="仿宋_GB2312" w:eastAsia="仿宋_GB2312" w:cs="仿宋_GB2312"/>
          <w:kern w:val="0"/>
          <w:sz w:val="32"/>
          <w:szCs w:val="32"/>
        </w:rPr>
        <w:t>）</w:t>
      </w:r>
      <w:r>
        <w:rPr>
          <w:rFonts w:hint="eastAsia" w:eastAsia="仿宋_GB2312"/>
          <w:sz w:val="32"/>
        </w:rPr>
        <w:t>不设内设机构。</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四、人员编制和领导职数</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乃东区文化新闻出版广电局（文物局</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核定编制总数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名。其中：行政编制3名，事业编制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领导职数：核定局领导职数4名。</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五、附则</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（一）本规定由乃东区机构编制委员会办公室负责解释，其调整由乃东区机构编制委员会办公室按规定程序办理。</w:t>
      </w:r>
    </w:p>
    <w:p>
      <w:pPr>
        <w:pStyle w:val="1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（二）乃东区机构编制委员会办公室对区文化新闻出版广电局（文物局</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职责履行情况进行监督检查。</w:t>
      </w: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10"/>
        <w:autoSpaceDN w:val="0"/>
        <w:spacing w:line="576" w:lineRule="exact"/>
        <w:ind w:firstLine="640" w:firstLineChars="200"/>
        <w:rPr>
          <w:rFonts w:hint="eastAsia" w:ascii="仿宋_GB2312" w:hAnsi="仿宋_GB2312" w:eastAsia="仿宋_GB2312" w:cs="仿宋_GB2312"/>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7"/>
        <w:gridCol w:w="1560"/>
        <w:gridCol w:w="1425"/>
        <w:gridCol w:w="1149"/>
        <w:gridCol w:w="1222"/>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2017年乃东区文化局财政拨款收支总表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27"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5"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49"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35"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7"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09"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w:t>
            </w: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657.7</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633.7</w:t>
            </w: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657.7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657.7</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633.7</w:t>
            </w: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3"/>
        <w:gridCol w:w="2025"/>
        <w:gridCol w:w="1382"/>
        <w:gridCol w:w="1382"/>
        <w:gridCol w:w="1380"/>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2017年乃东区文化局一般公共预算支出表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4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1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3"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207</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文化体育与传媒</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633.7</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380.8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252.9</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341.59</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223.29</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118.3</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2070199</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其他文化支出</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109.6</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109.6</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3"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2070107</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艺术表演团体</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83.41</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58.41</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2070406</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电影</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91.9</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91.9</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633.7</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380.8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252.9</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06"/>
        <w:gridCol w:w="1987"/>
        <w:gridCol w:w="1150"/>
        <w:gridCol w:w="1714"/>
        <w:gridCol w:w="1349"/>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8520"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2017年乃东区文化局一般公共预算基本支出表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06" w:type="dxa"/>
            <w:shd w:val="clear"/>
            <w:vAlign w:val="bottom"/>
          </w:tcPr>
          <w:p>
            <w:pPr>
              <w:jc w:val="both"/>
              <w:rPr>
                <w:rFonts w:hint="eastAsia" w:ascii="宋体" w:hAnsi="宋体" w:eastAsia="宋体" w:cs="宋体"/>
                <w:i w:val="0"/>
                <w:color w:val="000000"/>
                <w:sz w:val="21"/>
                <w:szCs w:val="21"/>
                <w:u w:val="none"/>
              </w:rPr>
            </w:pPr>
          </w:p>
        </w:tc>
        <w:tc>
          <w:tcPr>
            <w:tcW w:w="1987" w:type="dxa"/>
            <w:shd w:val="clear"/>
            <w:vAlign w:val="bottom"/>
          </w:tcPr>
          <w:p>
            <w:pPr>
              <w:jc w:val="both"/>
              <w:rPr>
                <w:rFonts w:hint="eastAsia" w:ascii="宋体" w:hAnsi="宋体" w:eastAsia="宋体" w:cs="宋体"/>
                <w:i w:val="0"/>
                <w:color w:val="000000"/>
                <w:sz w:val="22"/>
                <w:szCs w:val="22"/>
                <w:u w:val="none"/>
              </w:rPr>
            </w:pPr>
          </w:p>
        </w:tc>
        <w:tc>
          <w:tcPr>
            <w:tcW w:w="1150" w:type="dxa"/>
            <w:shd w:val="clear"/>
            <w:vAlign w:val="bottom"/>
          </w:tcPr>
          <w:p>
            <w:pPr>
              <w:jc w:val="both"/>
              <w:rPr>
                <w:rFonts w:hint="eastAsia" w:ascii="宋体" w:hAnsi="宋体" w:eastAsia="宋体" w:cs="宋体"/>
                <w:i w:val="0"/>
                <w:color w:val="000000"/>
                <w:sz w:val="22"/>
                <w:szCs w:val="22"/>
                <w:u w:val="none"/>
              </w:rPr>
            </w:pPr>
          </w:p>
        </w:tc>
        <w:tc>
          <w:tcPr>
            <w:tcW w:w="1714" w:type="dxa"/>
            <w:shd w:val="clear"/>
            <w:vAlign w:val="bottom"/>
          </w:tcPr>
          <w:p>
            <w:pPr>
              <w:jc w:val="both"/>
              <w:rPr>
                <w:rFonts w:hint="eastAsia" w:ascii="宋体" w:hAnsi="宋体" w:eastAsia="宋体" w:cs="宋体"/>
                <w:i w:val="0"/>
                <w:color w:val="000000"/>
                <w:sz w:val="22"/>
                <w:szCs w:val="22"/>
                <w:u w:val="none"/>
              </w:rPr>
            </w:pPr>
          </w:p>
        </w:tc>
        <w:tc>
          <w:tcPr>
            <w:tcW w:w="2363"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293"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213"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1014"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714"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014"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333.05</w:t>
            </w:r>
          </w:p>
        </w:tc>
        <w:tc>
          <w:tcPr>
            <w:tcW w:w="171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333.05</w:t>
            </w:r>
          </w:p>
        </w:tc>
        <w:tc>
          <w:tcPr>
            <w:tcW w:w="1349"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61.54</w:t>
            </w:r>
          </w:p>
        </w:tc>
        <w:tc>
          <w:tcPr>
            <w:tcW w:w="171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61.54</w:t>
            </w:r>
          </w:p>
        </w:tc>
        <w:tc>
          <w:tcPr>
            <w:tcW w:w="1349"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243.65</w:t>
            </w:r>
          </w:p>
        </w:tc>
        <w:tc>
          <w:tcPr>
            <w:tcW w:w="171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243.65</w:t>
            </w:r>
          </w:p>
        </w:tc>
        <w:tc>
          <w:tcPr>
            <w:tcW w:w="1349"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17.82</w:t>
            </w:r>
          </w:p>
        </w:tc>
        <w:tc>
          <w:tcPr>
            <w:tcW w:w="171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17.82</w:t>
            </w:r>
          </w:p>
        </w:tc>
        <w:tc>
          <w:tcPr>
            <w:tcW w:w="1349"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w:t>
            </w:r>
          </w:p>
        </w:tc>
        <w:tc>
          <w:tcPr>
            <w:tcW w:w="171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w:t>
            </w:r>
          </w:p>
        </w:tc>
        <w:tc>
          <w:tcPr>
            <w:tcW w:w="1349"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47.75</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47.75</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0.75</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0.75</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0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987"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14"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293"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5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380.8</w:t>
            </w:r>
          </w:p>
        </w:tc>
        <w:tc>
          <w:tcPr>
            <w:tcW w:w="171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333.05</w:t>
            </w:r>
          </w:p>
        </w:tc>
        <w:tc>
          <w:tcPr>
            <w:tcW w:w="134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47.75</w:t>
            </w:r>
          </w:p>
        </w:tc>
        <w:tc>
          <w:tcPr>
            <w:tcW w:w="101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9"/>
        <w:gridCol w:w="1193"/>
        <w:gridCol w:w="1193"/>
        <w:gridCol w:w="1192"/>
        <w:gridCol w:w="1189"/>
        <w:gridCol w:w="1190"/>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7"/>
            <w:shd w:val="clear"/>
            <w:vAlign w:val="bottom"/>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2017年乃东区文化局一般公共预算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189" w:type="dxa"/>
            <w:shd w:val="clear"/>
            <w:vAlign w:val="bottom"/>
          </w:tcPr>
          <w:p>
            <w:pPr>
              <w:rPr>
                <w:rFonts w:hint="eastAsia" w:ascii="宋体" w:hAnsi="宋体" w:eastAsia="宋体" w:cs="宋体"/>
                <w:i w:val="0"/>
                <w:color w:val="000000"/>
                <w:sz w:val="18"/>
                <w:szCs w:val="18"/>
                <w:u w:val="none"/>
              </w:rPr>
            </w:pPr>
          </w:p>
        </w:tc>
        <w:tc>
          <w:tcPr>
            <w:tcW w:w="1193"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93"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92"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90"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193"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35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1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文化局</w:t>
            </w:r>
          </w:p>
        </w:tc>
        <w:tc>
          <w:tcPr>
            <w:tcW w:w="119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电影队</w:t>
            </w:r>
          </w:p>
        </w:tc>
        <w:tc>
          <w:tcPr>
            <w:tcW w:w="119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19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19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9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w:t>
            </w:r>
          </w:p>
        </w:tc>
        <w:tc>
          <w:tcPr>
            <w:tcW w:w="119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18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19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0.75</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72"/>
        <w:gridCol w:w="2702"/>
        <w:gridCol w:w="1271"/>
        <w:gridCol w:w="749"/>
        <w:gridCol w:w="750"/>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2017年乃东区文化局政府性基金预算支出表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1272"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2702" w:type="dxa"/>
            <w:shd w:val="clear"/>
            <w:vAlign w:val="center"/>
          </w:tcPr>
          <w:p>
            <w:pPr>
              <w:rPr>
                <w:rFonts w:hint="eastAsia" w:ascii="宋体" w:hAnsi="宋体" w:eastAsia="宋体" w:cs="宋体"/>
                <w:i w:val="0"/>
                <w:color w:val="000000"/>
                <w:sz w:val="18"/>
                <w:szCs w:val="18"/>
                <w:u w:val="none"/>
              </w:rPr>
            </w:pPr>
          </w:p>
        </w:tc>
        <w:tc>
          <w:tcPr>
            <w:tcW w:w="1271" w:type="dxa"/>
            <w:shd w:val="clear"/>
            <w:vAlign w:val="center"/>
          </w:tcPr>
          <w:p>
            <w:pPr>
              <w:rPr>
                <w:rFonts w:hint="eastAsia" w:ascii="宋体" w:hAnsi="宋体" w:eastAsia="宋体" w:cs="宋体"/>
                <w:i w:val="0"/>
                <w:color w:val="000000"/>
                <w:sz w:val="18"/>
                <w:szCs w:val="18"/>
                <w:u w:val="none"/>
              </w:rPr>
            </w:pPr>
          </w:p>
        </w:tc>
        <w:tc>
          <w:tcPr>
            <w:tcW w:w="749" w:type="dxa"/>
            <w:shd w:val="clear"/>
            <w:vAlign w:val="center"/>
          </w:tcPr>
          <w:p>
            <w:pPr>
              <w:rPr>
                <w:rFonts w:hint="eastAsia" w:ascii="宋体" w:hAnsi="宋体" w:eastAsia="宋体" w:cs="宋体"/>
                <w:i w:val="0"/>
                <w:color w:val="000000"/>
                <w:sz w:val="18"/>
                <w:szCs w:val="18"/>
                <w:u w:val="none"/>
              </w:rPr>
            </w:pPr>
          </w:p>
        </w:tc>
        <w:tc>
          <w:tcPr>
            <w:tcW w:w="2342"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7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2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09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7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2070699</w:t>
            </w:r>
          </w:p>
        </w:tc>
        <w:tc>
          <w:tcPr>
            <w:tcW w:w="27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其他文化事业建设费安排的支出</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2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2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2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9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66"/>
        <w:gridCol w:w="2584"/>
        <w:gridCol w:w="1951"/>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190"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2017年乃东区文化局部门收支总表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566" w:type="dxa"/>
            <w:shd w:val="clear"/>
            <w:vAlign w:val="center"/>
          </w:tcPr>
          <w:p>
            <w:pPr>
              <w:jc w:val="left"/>
              <w:rPr>
                <w:rFonts w:hint="eastAsia" w:ascii="宋体" w:hAnsi="宋体" w:eastAsia="宋体" w:cs="宋体"/>
                <w:i w:val="0"/>
                <w:color w:val="000000"/>
                <w:sz w:val="21"/>
                <w:szCs w:val="21"/>
                <w:u w:val="none"/>
              </w:rPr>
            </w:pPr>
          </w:p>
        </w:tc>
        <w:tc>
          <w:tcPr>
            <w:tcW w:w="2584" w:type="dxa"/>
            <w:shd w:val="clear"/>
            <w:vAlign w:val="bottom"/>
          </w:tcPr>
          <w:p>
            <w:pPr>
              <w:rPr>
                <w:rFonts w:hint="eastAsia" w:ascii="宋体" w:hAnsi="宋体" w:eastAsia="宋体" w:cs="宋体"/>
                <w:i w:val="0"/>
                <w:color w:val="000000"/>
                <w:sz w:val="18"/>
                <w:szCs w:val="18"/>
                <w:u w:val="none"/>
              </w:rPr>
            </w:pPr>
          </w:p>
        </w:tc>
        <w:tc>
          <w:tcPr>
            <w:tcW w:w="1951" w:type="dxa"/>
            <w:shd w:val="clear"/>
            <w:vAlign w:val="bottom"/>
          </w:tcPr>
          <w:p>
            <w:pPr>
              <w:rPr>
                <w:rFonts w:hint="eastAsia" w:ascii="宋体" w:hAnsi="宋体" w:eastAsia="宋体" w:cs="宋体"/>
                <w:i w:val="0"/>
                <w:color w:val="000000"/>
                <w:sz w:val="18"/>
                <w:szCs w:val="18"/>
                <w:u w:val="none"/>
              </w:rPr>
            </w:pPr>
          </w:p>
        </w:tc>
        <w:tc>
          <w:tcPr>
            <w:tcW w:w="1089"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0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633.7</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 </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657.7</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657.7</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657.7</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21"/>
        <w:gridCol w:w="958"/>
        <w:gridCol w:w="456"/>
        <w:gridCol w:w="1074"/>
        <w:gridCol w:w="615"/>
        <w:gridCol w:w="448"/>
        <w:gridCol w:w="409"/>
        <w:gridCol w:w="456"/>
        <w:gridCol w:w="394"/>
        <w:gridCol w:w="362"/>
        <w:gridCol w:w="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2017年乃东区文化局部门收入总表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21" w:type="dxa"/>
            <w:shd w:val="clear"/>
            <w:vAlign w:val="bottom"/>
          </w:tcPr>
          <w:p>
            <w:pPr>
              <w:rPr>
                <w:rFonts w:hint="eastAsia" w:ascii="宋体" w:hAnsi="宋体" w:eastAsia="宋体" w:cs="宋体"/>
                <w:i w:val="0"/>
                <w:color w:val="000000"/>
                <w:sz w:val="18"/>
                <w:szCs w:val="18"/>
                <w:u w:val="none"/>
              </w:rPr>
            </w:pPr>
          </w:p>
        </w:tc>
        <w:tc>
          <w:tcPr>
            <w:tcW w:w="958" w:type="dxa"/>
            <w:shd w:val="clear"/>
            <w:vAlign w:val="bottom"/>
          </w:tcPr>
          <w:p>
            <w:pPr>
              <w:rPr>
                <w:rFonts w:hint="eastAsia" w:ascii="宋体" w:hAnsi="宋体" w:eastAsia="宋体" w:cs="宋体"/>
                <w:i w:val="0"/>
                <w:color w:val="000000"/>
                <w:sz w:val="18"/>
                <w:szCs w:val="18"/>
                <w:u w:val="none"/>
              </w:rPr>
            </w:pPr>
          </w:p>
        </w:tc>
        <w:tc>
          <w:tcPr>
            <w:tcW w:w="456" w:type="dxa"/>
            <w:shd w:val="clear"/>
            <w:vAlign w:val="bottom"/>
          </w:tcPr>
          <w:p>
            <w:pPr>
              <w:rPr>
                <w:rFonts w:hint="eastAsia" w:ascii="宋体" w:hAnsi="宋体" w:eastAsia="宋体" w:cs="宋体"/>
                <w:i w:val="0"/>
                <w:color w:val="000000"/>
                <w:sz w:val="18"/>
                <w:szCs w:val="18"/>
                <w:u w:val="none"/>
              </w:rPr>
            </w:pPr>
          </w:p>
        </w:tc>
        <w:tc>
          <w:tcPr>
            <w:tcW w:w="1074" w:type="dxa"/>
            <w:shd w:val="clear"/>
            <w:vAlign w:val="bottom"/>
          </w:tcPr>
          <w:p>
            <w:pPr>
              <w:rPr>
                <w:rFonts w:hint="eastAsia" w:ascii="宋体" w:hAnsi="宋体" w:eastAsia="宋体" w:cs="宋体"/>
                <w:i w:val="0"/>
                <w:color w:val="000000"/>
                <w:sz w:val="18"/>
                <w:szCs w:val="18"/>
                <w:u w:val="none"/>
              </w:rPr>
            </w:pPr>
          </w:p>
        </w:tc>
        <w:tc>
          <w:tcPr>
            <w:tcW w:w="615" w:type="dxa"/>
            <w:shd w:val="clear"/>
            <w:vAlign w:val="bottom"/>
          </w:tcPr>
          <w:p>
            <w:pPr>
              <w:rPr>
                <w:rFonts w:hint="eastAsia" w:ascii="宋体" w:hAnsi="宋体" w:eastAsia="宋体" w:cs="宋体"/>
                <w:i w:val="0"/>
                <w:color w:val="000000"/>
                <w:sz w:val="18"/>
                <w:szCs w:val="18"/>
                <w:u w:val="none"/>
              </w:rPr>
            </w:pPr>
          </w:p>
        </w:tc>
        <w:tc>
          <w:tcPr>
            <w:tcW w:w="448" w:type="dxa"/>
            <w:shd w:val="clear"/>
            <w:vAlign w:val="bottom"/>
          </w:tcPr>
          <w:p>
            <w:pPr>
              <w:rPr>
                <w:rFonts w:hint="eastAsia" w:ascii="宋体" w:hAnsi="宋体" w:eastAsia="宋体" w:cs="宋体"/>
                <w:i w:val="0"/>
                <w:color w:val="000000"/>
                <w:sz w:val="18"/>
                <w:szCs w:val="18"/>
                <w:u w:val="none"/>
              </w:rPr>
            </w:pPr>
          </w:p>
        </w:tc>
        <w:tc>
          <w:tcPr>
            <w:tcW w:w="409" w:type="dxa"/>
            <w:shd w:val="clear"/>
            <w:vAlign w:val="bottom"/>
          </w:tcPr>
          <w:p>
            <w:pPr>
              <w:rPr>
                <w:rFonts w:hint="eastAsia" w:ascii="宋体" w:hAnsi="宋体" w:eastAsia="宋体" w:cs="宋体"/>
                <w:i w:val="0"/>
                <w:color w:val="000000"/>
                <w:sz w:val="18"/>
                <w:szCs w:val="18"/>
                <w:u w:val="none"/>
              </w:rPr>
            </w:pPr>
          </w:p>
        </w:tc>
        <w:tc>
          <w:tcPr>
            <w:tcW w:w="456" w:type="dxa"/>
            <w:shd w:val="clear"/>
            <w:vAlign w:val="bottom"/>
          </w:tcPr>
          <w:p>
            <w:pPr>
              <w:rPr>
                <w:rFonts w:hint="eastAsia" w:ascii="宋体" w:hAnsi="宋体" w:eastAsia="宋体" w:cs="宋体"/>
                <w:i w:val="0"/>
                <w:color w:val="000000"/>
                <w:sz w:val="18"/>
                <w:szCs w:val="18"/>
                <w:u w:val="none"/>
              </w:rPr>
            </w:pPr>
          </w:p>
        </w:tc>
        <w:tc>
          <w:tcPr>
            <w:tcW w:w="394" w:type="dxa"/>
            <w:shd w:val="clear"/>
            <w:vAlign w:val="bottom"/>
          </w:tcPr>
          <w:p>
            <w:pPr>
              <w:rPr>
                <w:rFonts w:hint="eastAsia" w:ascii="宋体" w:hAnsi="宋体" w:eastAsia="宋体" w:cs="宋体"/>
                <w:i w:val="0"/>
                <w:color w:val="000000"/>
                <w:sz w:val="18"/>
                <w:szCs w:val="18"/>
                <w:u w:val="none"/>
              </w:rPr>
            </w:pPr>
          </w:p>
        </w:tc>
        <w:tc>
          <w:tcPr>
            <w:tcW w:w="840"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26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文化体育与传媒</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633.7</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633.7</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341.59</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341.59</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2070199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其他文化支出</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109.6</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109.6</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2070204</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2070107</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艺术表演团体</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83.41</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83.41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2070406</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电影</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91.9</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91.9</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2070699</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其他文化事业建设费安排的支出</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24.00 </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6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657.7</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633.7</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1"/>
        <w:gridCol w:w="2406"/>
        <w:gridCol w:w="1027"/>
        <w:gridCol w:w="956"/>
        <w:gridCol w:w="660"/>
        <w:gridCol w:w="852"/>
        <w:gridCol w:w="750"/>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2017年乃东区文化局部门支出总表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1" w:type="dxa"/>
            <w:shd w:val="clear"/>
            <w:vAlign w:val="center"/>
          </w:tcPr>
          <w:p>
            <w:pPr>
              <w:jc w:val="left"/>
              <w:rPr>
                <w:rFonts w:hint="eastAsia" w:ascii="宋体" w:hAnsi="宋体" w:eastAsia="宋体" w:cs="宋体"/>
                <w:i w:val="0"/>
                <w:color w:val="000000"/>
                <w:sz w:val="21"/>
                <w:szCs w:val="21"/>
                <w:u w:val="none"/>
              </w:rPr>
            </w:pPr>
          </w:p>
        </w:tc>
        <w:tc>
          <w:tcPr>
            <w:tcW w:w="2406" w:type="dxa"/>
            <w:shd w:val="clear"/>
            <w:vAlign w:val="center"/>
          </w:tcPr>
          <w:p>
            <w:pPr>
              <w:rPr>
                <w:rFonts w:hint="eastAsia" w:ascii="宋体" w:hAnsi="宋体" w:eastAsia="宋体" w:cs="宋体"/>
                <w:i w:val="0"/>
                <w:color w:val="000000"/>
                <w:sz w:val="22"/>
                <w:szCs w:val="22"/>
                <w:u w:val="none"/>
              </w:rPr>
            </w:pPr>
          </w:p>
        </w:tc>
        <w:tc>
          <w:tcPr>
            <w:tcW w:w="1027" w:type="dxa"/>
            <w:shd w:val="clear"/>
            <w:vAlign w:val="center"/>
          </w:tcPr>
          <w:p>
            <w:pPr>
              <w:rPr>
                <w:rFonts w:hint="eastAsia" w:ascii="宋体" w:hAnsi="宋体" w:eastAsia="宋体" w:cs="宋体"/>
                <w:i w:val="0"/>
                <w:color w:val="000000"/>
                <w:sz w:val="22"/>
                <w:szCs w:val="22"/>
                <w:u w:val="none"/>
              </w:rPr>
            </w:pPr>
          </w:p>
        </w:tc>
        <w:tc>
          <w:tcPr>
            <w:tcW w:w="956" w:type="dxa"/>
            <w:shd w:val="clear"/>
            <w:vAlign w:val="center"/>
          </w:tcPr>
          <w:p>
            <w:pPr>
              <w:rPr>
                <w:rFonts w:hint="eastAsia" w:ascii="宋体" w:hAnsi="宋体" w:eastAsia="宋体" w:cs="宋体"/>
                <w:i w:val="0"/>
                <w:color w:val="000000"/>
                <w:sz w:val="22"/>
                <w:szCs w:val="22"/>
                <w:u w:val="none"/>
              </w:rPr>
            </w:pPr>
          </w:p>
        </w:tc>
        <w:tc>
          <w:tcPr>
            <w:tcW w:w="660" w:type="dxa"/>
            <w:shd w:val="clear"/>
            <w:vAlign w:val="center"/>
          </w:tcPr>
          <w:p>
            <w:pPr>
              <w:rPr>
                <w:rFonts w:hint="eastAsia" w:ascii="宋体" w:hAnsi="宋体" w:eastAsia="宋体" w:cs="宋体"/>
                <w:i w:val="0"/>
                <w:color w:val="000000"/>
                <w:sz w:val="22"/>
                <w:szCs w:val="22"/>
                <w:u w:val="none"/>
              </w:rPr>
            </w:pPr>
          </w:p>
        </w:tc>
        <w:tc>
          <w:tcPr>
            <w:tcW w:w="852" w:type="dxa"/>
            <w:shd w:val="clear"/>
            <w:vAlign w:val="center"/>
          </w:tcPr>
          <w:p>
            <w:pPr>
              <w:rPr>
                <w:rFonts w:hint="eastAsia" w:ascii="宋体" w:hAnsi="宋体" w:eastAsia="宋体" w:cs="宋体"/>
                <w:i w:val="0"/>
                <w:color w:val="000000"/>
                <w:sz w:val="22"/>
                <w:szCs w:val="22"/>
                <w:u w:val="none"/>
              </w:rPr>
            </w:pPr>
          </w:p>
        </w:tc>
        <w:tc>
          <w:tcPr>
            <w:tcW w:w="1604"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1"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207</w:t>
            </w:r>
          </w:p>
        </w:tc>
        <w:tc>
          <w:tcPr>
            <w:tcW w:w="240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文化体育与传媒</w:t>
            </w: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633.7</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380.8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252.9</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240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341.59</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223.29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118.3</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2070199</w:t>
            </w:r>
          </w:p>
        </w:tc>
        <w:tc>
          <w:tcPr>
            <w:tcW w:w="240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其他文化支出</w:t>
            </w: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109.6</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109.6</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2070204</w:t>
            </w: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w:t>
            </w: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2070107</w:t>
            </w: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艺术表演团体</w:t>
            </w: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83.41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2070406</w:t>
            </w: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电影</w:t>
            </w: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91.9</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2070699</w:t>
            </w: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其他文化事业建设费安排的支出</w:t>
            </w: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24.00 </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24.00 </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0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657.70 </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380.80 </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276.90 </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乃东区文化新闻出版广电局（文物局）2017年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乃东区文化新闻出版广电局（文物局）2017年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633.7万元</w:t>
      </w:r>
      <w:r>
        <w:rPr>
          <w:rFonts w:hint="eastAsia" w:ascii="仿宋_GB2312" w:hAnsi="仿宋_GB2312" w:eastAsia="仿宋_GB2312" w:cs="仿宋_GB2312"/>
          <w:color w:val="000000" w:themeColor="text1"/>
          <w:sz w:val="32"/>
          <w:szCs w:val="32"/>
          <w14:textFill>
            <w14:solidFill>
              <w14:schemeClr w14:val="tx1"/>
            </w14:solidFill>
          </w14:textFill>
        </w:rPr>
        <w:t>，政府性基金预算拨款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24万元</w:t>
      </w:r>
      <w:r>
        <w:rPr>
          <w:rFonts w:hint="eastAsia" w:ascii="仿宋_GB2312" w:hAnsi="仿宋_GB2312" w:eastAsia="仿宋_GB2312" w:cs="仿宋_GB2312"/>
          <w:color w:val="000000" w:themeColor="text1"/>
          <w:sz w:val="32"/>
          <w:szCs w:val="32"/>
          <w14:textFill>
            <w14:solidFill>
              <w14:schemeClr w14:val="tx1"/>
            </w14:solidFill>
          </w14:textFill>
        </w:rPr>
        <w:t>，包括：当年财政拨款收入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文化体育与传媒支出657.7万元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333.05</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47.75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项目支出252.9万元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文化体育与传媒支出657.7</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207文化体育与传媒支出633.7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2070101行政运行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341.59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2070199其他文化支出109.6元，2070204文物保护7.2万元，2070107艺术表演团体83.41万元，2070406电影91.9万元；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2、2070699其他文化事业建设费安排的支出24万元。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380.8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333.05</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61.54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243.65</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17.82</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10.04</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47.75</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w:t>
      </w:r>
      <w:r>
        <w:rPr>
          <w:rFonts w:hint="eastAsia" w:ascii="仿宋_GB2312" w:hAnsi="仿宋_GB2312" w:eastAsia="仿宋_GB2312" w:cs="仿宋_GB2312"/>
          <w:color w:val="000000" w:themeColor="text1"/>
          <w:sz w:val="32"/>
          <w:szCs w:val="32"/>
          <w14:textFill>
            <w14:solidFill>
              <w14:schemeClr w14:val="tx1"/>
            </w14:solidFill>
          </w14:textFill>
        </w:rPr>
        <w:t>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邮电费1万元，差旅费1万元，维修（护）费0.5万元，培训费7万元，公务接待费0.75万元，</w:t>
      </w:r>
      <w:r>
        <w:rPr>
          <w:rFonts w:hint="eastAsia" w:ascii="仿宋_GB2312" w:hAnsi="仿宋_GB2312" w:eastAsia="仿宋_GB2312" w:cs="仿宋_GB2312"/>
          <w:color w:val="000000" w:themeColor="text1"/>
          <w:sz w:val="32"/>
          <w:szCs w:val="32"/>
          <w14:textFill>
            <w14:solidFill>
              <w14:schemeClr w14:val="tx1"/>
            </w14:solidFill>
          </w14:textFill>
        </w:rPr>
        <w:t xml:space="preserve">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2017年三公经费预算合计3.16万元，同比增加1.67万元，上升113%。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增加的原因主要是需要执行的相关工作增加，下乡次数增多，致使油料费增加。</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乃东区文化新闻出版广电局（文物局）2017年</w:t>
      </w:r>
      <w:r>
        <w:rPr>
          <w:rFonts w:hint="eastAsia" w:ascii="仿宋_GB2312" w:hAnsi="仿宋_GB2312" w:eastAsia="仿宋_GB2312" w:cs="仿宋_GB2312"/>
          <w:color w:val="000000" w:themeColor="text1"/>
          <w:sz w:val="32"/>
          <w:szCs w:val="32"/>
          <w14:textFill>
            <w14:solidFill>
              <w14:schemeClr w14:val="tx1"/>
            </w14:solidFill>
          </w14:textFill>
        </w:rPr>
        <w:t>政府性基金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预算拨款24万元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其他文化事业建设费安排的支出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380.8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252.9</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380.8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252.9</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657.7</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文化体育与传媒支出657.7万元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2017年文化局机关运行经费预算为15.12万元，与2016年13.2万元相比增加1.92万元，增加14.55%。</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增加原因为：2017年开始将电影队机关运行经费合并文化局预算。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04A03A0B"/>
    <w:rsid w:val="1E8E3BE4"/>
    <w:rsid w:val="1F0D5063"/>
    <w:rsid w:val="23672AA3"/>
    <w:rsid w:val="25371F1B"/>
    <w:rsid w:val="2F942079"/>
    <w:rsid w:val="43E10E38"/>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11"/>
    <w:basedOn w:val="5"/>
    <w:uiPriority w:val="0"/>
    <w:rPr>
      <w:rFonts w:hint="eastAsia" w:ascii="宋体" w:hAnsi="宋体" w:eastAsia="宋体" w:cs="宋体"/>
      <w:color w:val="000000"/>
      <w:sz w:val="21"/>
      <w:szCs w:val="21"/>
      <w:u w:val="none"/>
    </w:rPr>
  </w:style>
  <w:style w:type="character" w:customStyle="1" w:styleId="15">
    <w:name w:val="font61"/>
    <w:basedOn w:val="5"/>
    <w:uiPriority w:val="0"/>
    <w:rPr>
      <w:rFonts w:hint="eastAsia" w:ascii="宋体" w:hAnsi="宋体" w:eastAsia="宋体" w:cs="宋体"/>
      <w:b/>
      <w:color w:val="000000"/>
      <w:sz w:val="24"/>
      <w:szCs w:val="24"/>
      <w:u w:val="none"/>
    </w:rPr>
  </w:style>
  <w:style w:type="character" w:customStyle="1" w:styleId="1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2018-12-20T05:41:43Z</cp:lastPrinted>
  <dcterms:modified xsi:type="dcterms:W3CDTF">2018-12-20T05:56:12Z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