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乃东区食品药品监督管理局（食品安全委员会办公室）</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乃东区食品药品监督管理局（食品安全委员会办公室）2017年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乃东区食品药品监督管理局（食品安全委员会办公室）2017年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76" w:lineRule="exact"/>
        <w:ind w:firstLine="640" w:firstLineChars="200"/>
        <w:rPr>
          <w:rFonts w:eastAsia="仿宋_GB2312"/>
          <w:sz w:val="32"/>
          <w:szCs w:val="32"/>
        </w:rPr>
      </w:pPr>
      <w:r>
        <w:rPr>
          <w:rFonts w:eastAsia="仿宋_GB2312"/>
          <w:sz w:val="32"/>
          <w:szCs w:val="32"/>
          <w:shd w:val="clear" w:color="auto" w:fill="FFFFFF"/>
        </w:rPr>
        <w:t>根据《中共山南市委办公室 山南市人民政府办公室关于印发〈乃东区政府职能转变和机构改革方案〉的通知》（山委办〔2016〕74号）精神</w:t>
      </w:r>
      <w:r>
        <w:rPr>
          <w:rFonts w:hint="eastAsia" w:eastAsia="仿宋_GB2312"/>
          <w:sz w:val="32"/>
          <w:szCs w:val="32"/>
          <w:shd w:val="clear" w:color="auto" w:fill="FFFFFF"/>
        </w:rPr>
        <w:t>，</w:t>
      </w:r>
      <w:r>
        <w:rPr>
          <w:rFonts w:eastAsia="仿宋_GB2312"/>
          <w:sz w:val="32"/>
          <w:szCs w:val="32"/>
        </w:rPr>
        <w:t>设立乃东区食品药品监督管理局（食品安全委员会办公室</w:t>
      </w:r>
      <w:r>
        <w:rPr>
          <w:rFonts w:eastAsia="仿宋_GB2312"/>
          <w:sz w:val="32"/>
          <w:szCs w:val="32"/>
          <w:shd w:val="clear" w:color="auto" w:fill="FFFFFF"/>
        </w:rPr>
        <w:t>）</w:t>
      </w:r>
      <w:r>
        <w:rPr>
          <w:rFonts w:hint="eastAsia" w:eastAsia="仿宋_GB2312"/>
          <w:sz w:val="32"/>
          <w:szCs w:val="32"/>
        </w:rPr>
        <w:t>，</w:t>
      </w:r>
      <w:r>
        <w:rPr>
          <w:rFonts w:eastAsia="仿宋_GB2312"/>
          <w:sz w:val="32"/>
          <w:szCs w:val="32"/>
        </w:rPr>
        <w:t>正科级，为乃东区人民政府工作部门。</w:t>
      </w:r>
    </w:p>
    <w:p>
      <w:pPr>
        <w:spacing w:line="576" w:lineRule="exact"/>
        <w:ind w:firstLine="640" w:firstLineChars="200"/>
        <w:rPr>
          <w:rFonts w:eastAsia="黑体"/>
          <w:sz w:val="32"/>
          <w:szCs w:val="32"/>
        </w:rPr>
      </w:pPr>
      <w:r>
        <w:rPr>
          <w:rFonts w:eastAsia="黑体"/>
          <w:bCs/>
          <w:sz w:val="32"/>
          <w:szCs w:val="32"/>
        </w:rPr>
        <w:t>一、</w:t>
      </w:r>
      <w:r>
        <w:rPr>
          <w:rFonts w:eastAsia="黑体"/>
          <w:sz w:val="32"/>
          <w:szCs w:val="32"/>
        </w:rPr>
        <w:t>职责调整</w:t>
      </w:r>
    </w:p>
    <w:p>
      <w:pPr>
        <w:spacing w:line="576" w:lineRule="exact"/>
        <w:ind w:firstLine="640" w:firstLineChars="200"/>
        <w:rPr>
          <w:rFonts w:eastAsia="黑体"/>
          <w:bCs/>
          <w:sz w:val="32"/>
          <w:szCs w:val="32"/>
        </w:rPr>
      </w:pPr>
      <w:r>
        <w:rPr>
          <w:rFonts w:eastAsia="仿宋_GB2312"/>
          <w:sz w:val="32"/>
          <w:szCs w:val="32"/>
        </w:rPr>
        <w:t>（一）取消已由国务院、自治区、市人民政府公布取消的行政审批事项。</w:t>
      </w:r>
    </w:p>
    <w:p>
      <w:pPr>
        <w:spacing w:line="576" w:lineRule="exact"/>
        <w:ind w:firstLine="640" w:firstLineChars="200"/>
        <w:rPr>
          <w:rFonts w:eastAsia="仿宋_GB2312"/>
          <w:sz w:val="32"/>
          <w:szCs w:val="32"/>
        </w:rPr>
      </w:pPr>
      <w:r>
        <w:rPr>
          <w:rFonts w:eastAsia="仿宋_GB2312"/>
          <w:sz w:val="32"/>
          <w:szCs w:val="32"/>
          <w:highlight w:val="none"/>
        </w:rPr>
        <w:t>（二）</w:t>
      </w:r>
      <w:r>
        <w:rPr>
          <w:rFonts w:eastAsia="仿宋_GB2312"/>
          <w:color w:val="000000"/>
          <w:sz w:val="32"/>
        </w:rPr>
        <w:t>对饭馆、咖啡馆、酒吧、茶座4类公共场所卫生许可证的受理工作职责划入</w:t>
      </w:r>
      <w:bookmarkStart w:id="0" w:name="OLE_LINK1"/>
      <w:r>
        <w:rPr>
          <w:rFonts w:eastAsia="仿宋_GB2312"/>
          <w:color w:val="000000"/>
          <w:sz w:val="32"/>
        </w:rPr>
        <w:t>区食品药品监督管理局</w:t>
      </w:r>
      <w:bookmarkEnd w:id="0"/>
      <w:r>
        <w:rPr>
          <w:rFonts w:eastAsia="仿宋_GB2312"/>
          <w:sz w:val="32"/>
          <w:szCs w:val="32"/>
        </w:rPr>
        <w:t>（</w:t>
      </w:r>
      <w:r>
        <w:rPr>
          <w:rFonts w:eastAsia="仿宋_GB2312"/>
          <w:color w:val="000000"/>
          <w:sz w:val="32"/>
        </w:rPr>
        <w:t>食品安全委员会办公室</w:t>
      </w:r>
      <w:r>
        <w:rPr>
          <w:rFonts w:eastAsia="仿宋_GB2312"/>
          <w:sz w:val="32"/>
          <w:szCs w:val="32"/>
        </w:rPr>
        <w:t>）</w:t>
      </w:r>
      <w:r>
        <w:rPr>
          <w:rFonts w:eastAsia="仿宋_GB2312"/>
          <w:color w:val="000000"/>
          <w:sz w:val="32"/>
        </w:rPr>
        <w:t>。</w:t>
      </w:r>
    </w:p>
    <w:p>
      <w:pPr>
        <w:spacing w:line="576" w:lineRule="exact"/>
        <w:ind w:firstLine="640" w:firstLineChars="200"/>
        <w:rPr>
          <w:rFonts w:eastAsia="黑体"/>
          <w:bCs/>
          <w:sz w:val="32"/>
          <w:szCs w:val="32"/>
        </w:rPr>
      </w:pPr>
      <w:r>
        <w:rPr>
          <w:rFonts w:eastAsia="黑体"/>
          <w:bCs/>
          <w:sz w:val="32"/>
          <w:szCs w:val="32"/>
        </w:rPr>
        <w:t>二、主要职责</w:t>
      </w:r>
    </w:p>
    <w:p>
      <w:pPr>
        <w:spacing w:line="576" w:lineRule="exact"/>
        <w:ind w:firstLine="640" w:firstLineChars="200"/>
        <w:rPr>
          <w:rFonts w:eastAsia="仿宋_GB2312"/>
          <w:sz w:val="32"/>
          <w:szCs w:val="32"/>
        </w:rPr>
      </w:pPr>
      <w:r>
        <w:rPr>
          <w:rFonts w:eastAsia="仿宋_GB2312"/>
          <w:sz w:val="32"/>
          <w:szCs w:val="32"/>
        </w:rPr>
        <w:t>（一）贯彻执行食品（生产环节食品、经营环节食品、保健食品、餐饮服务环节食品）、药品、医疗器械、化妆品安全监督管理的方针、政策和法律、法规、规章；负责实施地方性相关法规、规章。</w:t>
      </w:r>
    </w:p>
    <w:p>
      <w:pPr>
        <w:spacing w:line="576" w:lineRule="exact"/>
        <w:ind w:firstLine="640" w:firstLineChars="200"/>
        <w:rPr>
          <w:rFonts w:eastAsia="仿宋_GB2312"/>
          <w:sz w:val="32"/>
          <w:szCs w:val="32"/>
        </w:rPr>
      </w:pPr>
      <w:r>
        <w:rPr>
          <w:rFonts w:eastAsia="仿宋_GB2312"/>
          <w:sz w:val="32"/>
          <w:szCs w:val="32"/>
        </w:rPr>
        <w:t>（二）负责全区生产经营环节食品安全监管工作；负责全区餐饮服务行政许可和安全监管；负</w:t>
      </w:r>
      <w:r>
        <w:rPr>
          <w:rFonts w:eastAsia="仿宋_GB2312"/>
          <w:color w:val="000000"/>
          <w:sz w:val="32"/>
        </w:rPr>
        <w:t>责食品安全综合协调、组织查处食品安全重大事故；负责保健食品安全监管；负责重大活动食品安全保障工作。</w:t>
      </w:r>
    </w:p>
    <w:p>
      <w:pPr>
        <w:spacing w:line="576" w:lineRule="exact"/>
        <w:ind w:firstLine="640" w:firstLineChars="200"/>
        <w:rPr>
          <w:rFonts w:eastAsia="仿宋_GB2312"/>
          <w:sz w:val="32"/>
          <w:szCs w:val="32"/>
        </w:rPr>
      </w:pPr>
      <w:r>
        <w:rPr>
          <w:rFonts w:eastAsia="仿宋_GB2312"/>
          <w:sz w:val="32"/>
          <w:szCs w:val="32"/>
        </w:rPr>
        <w:t>（三）组织实施全区餐饮服务单位量化分级管理；查处全区餐饮服务环节食品安全违法行为；承担全区餐饮服务环节食品从业人员的培训和健康检查的监督；指导和监督各乡（镇）餐饮服务食品安全监管工作。</w:t>
      </w:r>
    </w:p>
    <w:p>
      <w:pPr>
        <w:spacing w:line="576" w:lineRule="exact"/>
        <w:ind w:firstLine="640" w:firstLineChars="200"/>
        <w:rPr>
          <w:rFonts w:eastAsia="仿宋_GB2312"/>
          <w:sz w:val="32"/>
          <w:szCs w:val="32"/>
        </w:rPr>
      </w:pPr>
      <w:r>
        <w:rPr>
          <w:rFonts w:eastAsia="仿宋_GB2312"/>
          <w:sz w:val="32"/>
          <w:szCs w:val="32"/>
        </w:rPr>
        <w:t>（四）监督实施全区餐饮服务环节、食品经营环节食品安全规范；开展餐饮服务环节、食品经营环节食品安全状况调查和监测工作；发布与餐饮服务环节、食品经营环节食品安全监管有关的信息。</w:t>
      </w:r>
    </w:p>
    <w:p>
      <w:pPr>
        <w:spacing w:line="576" w:lineRule="exact"/>
        <w:ind w:firstLine="640" w:firstLineChars="200"/>
        <w:rPr>
          <w:rFonts w:eastAsia="仿宋_GB2312"/>
          <w:sz w:val="32"/>
          <w:szCs w:val="32"/>
        </w:rPr>
      </w:pPr>
      <w:r>
        <w:rPr>
          <w:rFonts w:eastAsia="仿宋_GB2312"/>
          <w:sz w:val="32"/>
          <w:szCs w:val="32"/>
        </w:rPr>
        <w:t>（五）负责全区化妆品零售许可和监督管理工作；监督实施全区化妆品生产经营管理规范；指导各乡（镇）化妆品生产经营安全监管工作。</w:t>
      </w:r>
    </w:p>
    <w:p>
      <w:pPr>
        <w:spacing w:line="576" w:lineRule="exact"/>
        <w:ind w:firstLine="640" w:firstLineChars="200"/>
        <w:rPr>
          <w:rFonts w:eastAsia="仿宋_GB2312"/>
          <w:sz w:val="32"/>
          <w:szCs w:val="32"/>
        </w:rPr>
      </w:pPr>
      <w:r>
        <w:rPr>
          <w:rFonts w:eastAsia="仿宋_GB2312"/>
          <w:sz w:val="32"/>
          <w:szCs w:val="32"/>
        </w:rPr>
        <w:t>（六）负责全区药品生产、经营（批发）企业的初审、管理、跟踪检查。</w:t>
      </w:r>
    </w:p>
    <w:p>
      <w:pPr>
        <w:spacing w:line="576" w:lineRule="exact"/>
        <w:ind w:firstLine="640" w:firstLineChars="200"/>
        <w:rPr>
          <w:rFonts w:eastAsia="仿宋_GB2312"/>
          <w:sz w:val="32"/>
          <w:szCs w:val="32"/>
        </w:rPr>
      </w:pPr>
      <w:r>
        <w:rPr>
          <w:rFonts w:eastAsia="仿宋_GB2312"/>
          <w:sz w:val="32"/>
          <w:szCs w:val="32"/>
        </w:rPr>
        <w:t>（七）负责全区医疗机构制剂的初审和监督管理；负责全区药品不良反应、药品广告、医疗器械事件监测；药品互联网信息监测；监督实施国家药品标准。配合有关部门实施国家基本药物制度，组织实施处方药和非处方药分类管理制度。</w:t>
      </w:r>
    </w:p>
    <w:p>
      <w:pPr>
        <w:spacing w:line="576" w:lineRule="exact"/>
        <w:ind w:firstLine="640" w:firstLineChars="200"/>
        <w:rPr>
          <w:rFonts w:eastAsia="仿宋_GB2312"/>
          <w:sz w:val="32"/>
          <w:szCs w:val="32"/>
        </w:rPr>
      </w:pPr>
      <w:r>
        <w:rPr>
          <w:rFonts w:eastAsia="仿宋_GB2312"/>
          <w:sz w:val="32"/>
          <w:szCs w:val="32"/>
        </w:rPr>
        <w:t>（八）负责全区监督管理放射性药品、麻醉药品、毒性药品、精神药品及生物制品、易制毒化学品。会同有关部门实施执业药师资格制度，开展与食品药品监督管理有关的对外交流与合作。</w:t>
      </w:r>
    </w:p>
    <w:p>
      <w:pPr>
        <w:spacing w:line="576" w:lineRule="exact"/>
        <w:ind w:firstLine="640" w:firstLineChars="200"/>
        <w:rPr>
          <w:rFonts w:eastAsia="仿宋_GB2312"/>
          <w:sz w:val="32"/>
          <w:szCs w:val="32"/>
        </w:rPr>
      </w:pPr>
      <w:r>
        <w:rPr>
          <w:rFonts w:eastAsia="仿宋_GB2312"/>
          <w:sz w:val="32"/>
          <w:szCs w:val="32"/>
        </w:rPr>
        <w:t>（九）承担全区药品研制、生产、经营和使用全方位的日常监督管理工作；负责全区新药、已有国家标准的仿制药品、直接接触药品的包装材料和容器的监管和医疗机构制剂注册及调剂的初审及药品品种再注册的衔接工作；</w:t>
      </w:r>
    </w:p>
    <w:p>
      <w:pPr>
        <w:spacing w:line="576" w:lineRule="exact"/>
        <w:ind w:firstLine="640" w:firstLineChars="200"/>
        <w:rPr>
          <w:rFonts w:eastAsia="仿宋_GB2312"/>
          <w:sz w:val="32"/>
          <w:szCs w:val="32"/>
        </w:rPr>
      </w:pPr>
      <w:r>
        <w:rPr>
          <w:rFonts w:eastAsia="仿宋_GB2312"/>
          <w:sz w:val="32"/>
          <w:szCs w:val="32"/>
        </w:rPr>
        <w:t>（十）负责监督实施全区中药、藏药品种保护制度；监督实施全区中药、藏药饮片炮制规范；监督实施全区药品生产、经营以及医疗机构制剂配制等质量管理规范；承担全区药品生产、委托生产的监督管理；负责全区</w:t>
      </w:r>
      <w:r>
        <w:rPr>
          <w:rFonts w:hint="eastAsia" w:ascii="仿宋_GB2312" w:hAnsi="仿宋_GB2312" w:eastAsia="仿宋_GB2312" w:cs="仿宋_GB2312"/>
          <w:sz w:val="32"/>
          <w:szCs w:val="32"/>
        </w:rPr>
        <w:t>GMP、GSP</w:t>
      </w:r>
      <w:r>
        <w:rPr>
          <w:rFonts w:eastAsia="仿宋_GB2312"/>
          <w:sz w:val="32"/>
          <w:szCs w:val="32"/>
        </w:rPr>
        <w:t>跟踪检查，开展药品安全信用体系建设指导各乡（镇）药品安全监管工作。</w:t>
      </w:r>
    </w:p>
    <w:p>
      <w:pPr>
        <w:spacing w:line="576" w:lineRule="exact"/>
        <w:ind w:firstLine="640" w:firstLineChars="200"/>
        <w:rPr>
          <w:rFonts w:eastAsia="仿宋_GB2312"/>
          <w:color w:val="000000"/>
          <w:sz w:val="32"/>
        </w:rPr>
      </w:pPr>
      <w:r>
        <w:rPr>
          <w:rFonts w:eastAsia="仿宋_GB2312"/>
          <w:sz w:val="32"/>
          <w:szCs w:val="32"/>
        </w:rPr>
        <w:t>（十一）</w:t>
      </w:r>
      <w:r>
        <w:rPr>
          <w:rFonts w:eastAsia="仿宋_GB2312"/>
          <w:color w:val="000000"/>
          <w:sz w:val="32"/>
        </w:rPr>
        <w:t>负责组织全区查处药品、医疗器械、保健食品、化妆品和食品生产、经营、消费环节食品安全研制、生产、流通、使用方面的违法行为；承担有关行政复议受理和行政应诉工作。</w:t>
      </w:r>
    </w:p>
    <w:p>
      <w:pPr>
        <w:spacing w:line="576" w:lineRule="exact"/>
        <w:ind w:firstLine="640" w:firstLineChars="200"/>
        <w:rPr>
          <w:rFonts w:eastAsia="仿宋_GB2312"/>
          <w:sz w:val="32"/>
          <w:szCs w:val="32"/>
        </w:rPr>
      </w:pPr>
      <w:r>
        <w:rPr>
          <w:rFonts w:eastAsia="仿宋_GB2312"/>
          <w:sz w:val="32"/>
          <w:szCs w:val="32"/>
        </w:rPr>
        <w:t>（十二）</w:t>
      </w:r>
      <w:r>
        <w:rPr>
          <w:rFonts w:eastAsia="仿宋_GB2312"/>
          <w:color w:val="000000"/>
          <w:sz w:val="32"/>
        </w:rPr>
        <w:t>负责全区食品药品安全应急体系建设，开展应急处置、应急演练、问题食品药品的召回工作；开展与食品药品监督管理有关的对外交流与合作</w:t>
      </w:r>
      <w:r>
        <w:rPr>
          <w:rFonts w:eastAsia="仿宋_GB2312"/>
          <w:sz w:val="32"/>
          <w:szCs w:val="32"/>
        </w:rPr>
        <w:t>。</w:t>
      </w:r>
    </w:p>
    <w:p>
      <w:pPr>
        <w:spacing w:line="576" w:lineRule="exact"/>
        <w:ind w:firstLine="640" w:firstLineChars="200"/>
        <w:rPr>
          <w:rFonts w:eastAsia="仿宋_GB2312"/>
          <w:sz w:val="32"/>
          <w:szCs w:val="32"/>
        </w:rPr>
      </w:pPr>
      <w:r>
        <w:rPr>
          <w:rFonts w:eastAsia="仿宋_GB2312"/>
          <w:sz w:val="32"/>
          <w:szCs w:val="32"/>
        </w:rPr>
        <w:t>（十三）负责全区食品安全委员会办公室日常工作。</w:t>
      </w:r>
    </w:p>
    <w:p>
      <w:pPr>
        <w:spacing w:line="576" w:lineRule="exact"/>
        <w:ind w:firstLine="640" w:firstLineChars="200"/>
        <w:rPr>
          <w:rFonts w:eastAsia="仿宋_GB2312"/>
          <w:sz w:val="32"/>
          <w:szCs w:val="32"/>
        </w:rPr>
      </w:pPr>
      <w:r>
        <w:rPr>
          <w:rFonts w:eastAsia="仿宋_GB2312"/>
          <w:sz w:val="32"/>
          <w:szCs w:val="32"/>
        </w:rPr>
        <w:t>（十四）承办</w:t>
      </w:r>
      <w:r>
        <w:rPr>
          <w:rFonts w:hint="eastAsia" w:eastAsia="仿宋_GB2312"/>
          <w:sz w:val="32"/>
          <w:szCs w:val="32"/>
          <w:lang w:eastAsia="zh-CN"/>
        </w:rPr>
        <w:t>区</w:t>
      </w:r>
      <w:r>
        <w:rPr>
          <w:rFonts w:eastAsia="仿宋_GB2312"/>
          <w:sz w:val="32"/>
          <w:szCs w:val="32"/>
        </w:rPr>
        <w:t>政府交办的其他事项。</w:t>
      </w:r>
    </w:p>
    <w:p>
      <w:pPr>
        <w:spacing w:line="576" w:lineRule="exact"/>
        <w:ind w:firstLine="640" w:firstLineChars="200"/>
        <w:rPr>
          <w:rFonts w:eastAsia="黑体"/>
          <w:bCs/>
          <w:sz w:val="32"/>
          <w:szCs w:val="32"/>
        </w:rPr>
      </w:pPr>
      <w:r>
        <w:rPr>
          <w:rFonts w:eastAsia="黑体"/>
          <w:bCs/>
          <w:sz w:val="32"/>
          <w:szCs w:val="32"/>
        </w:rPr>
        <w:t>三、内设机构</w:t>
      </w:r>
    </w:p>
    <w:p>
      <w:pPr>
        <w:spacing w:line="576" w:lineRule="exact"/>
        <w:ind w:firstLine="640" w:firstLineChars="200"/>
        <w:rPr>
          <w:rFonts w:eastAsia="仿宋_GB2312"/>
          <w:sz w:val="32"/>
          <w:szCs w:val="32"/>
        </w:rPr>
      </w:pPr>
      <w:r>
        <w:rPr>
          <w:rFonts w:eastAsia="仿宋_GB2312"/>
          <w:sz w:val="32"/>
          <w:szCs w:val="32"/>
        </w:rPr>
        <w:t>乃东区食品药品监督管理局（食品安全委员会办公室）不设内设机构。</w:t>
      </w:r>
    </w:p>
    <w:p>
      <w:pPr>
        <w:spacing w:line="576" w:lineRule="exact"/>
        <w:ind w:firstLine="640" w:firstLineChars="200"/>
        <w:rPr>
          <w:rFonts w:eastAsia="黑体"/>
          <w:bCs/>
          <w:sz w:val="32"/>
          <w:szCs w:val="32"/>
        </w:rPr>
      </w:pPr>
      <w:r>
        <w:rPr>
          <w:rFonts w:eastAsia="黑体"/>
          <w:bCs/>
          <w:sz w:val="32"/>
          <w:szCs w:val="32"/>
        </w:rPr>
        <w:t>四、人员编制和领导职数</w:t>
      </w:r>
    </w:p>
    <w:p>
      <w:pPr>
        <w:spacing w:line="576" w:lineRule="exact"/>
        <w:ind w:firstLine="640" w:firstLineChars="200"/>
        <w:rPr>
          <w:rFonts w:eastAsia="仿宋_GB2312"/>
          <w:sz w:val="32"/>
          <w:szCs w:val="32"/>
        </w:rPr>
      </w:pPr>
      <w:r>
        <w:rPr>
          <w:rFonts w:eastAsia="仿宋_GB2312"/>
          <w:sz w:val="32"/>
          <w:szCs w:val="32"/>
        </w:rPr>
        <w:t>乃东区食品药品监督管理局（食品安全委员会办公室）核定编制总数为</w:t>
      </w:r>
      <w:r>
        <w:rPr>
          <w:rFonts w:hint="eastAsia" w:eastAsia="仿宋_GB2312"/>
          <w:sz w:val="32"/>
          <w:szCs w:val="32"/>
        </w:rPr>
        <w:t>6</w:t>
      </w:r>
      <w:r>
        <w:rPr>
          <w:rFonts w:eastAsia="仿宋_GB2312"/>
          <w:sz w:val="32"/>
          <w:szCs w:val="32"/>
        </w:rPr>
        <w:t>名。其中：行政编制</w:t>
      </w:r>
      <w:r>
        <w:rPr>
          <w:rFonts w:hint="eastAsia" w:eastAsia="仿宋_GB2312"/>
          <w:sz w:val="32"/>
          <w:szCs w:val="32"/>
        </w:rPr>
        <w:t>5</w:t>
      </w:r>
      <w:r>
        <w:rPr>
          <w:rFonts w:eastAsia="仿宋_GB2312"/>
          <w:sz w:val="32"/>
          <w:szCs w:val="32"/>
        </w:rPr>
        <w:t>名，事业编制</w:t>
      </w:r>
      <w:r>
        <w:rPr>
          <w:rFonts w:hint="eastAsia" w:eastAsia="仿宋_GB2312"/>
          <w:sz w:val="32"/>
          <w:szCs w:val="32"/>
        </w:rPr>
        <w:t>1</w:t>
      </w:r>
      <w:r>
        <w:rPr>
          <w:rFonts w:eastAsia="仿宋_GB2312"/>
          <w:sz w:val="32"/>
          <w:szCs w:val="32"/>
        </w:rPr>
        <w:t>名。</w:t>
      </w:r>
    </w:p>
    <w:p>
      <w:pPr>
        <w:spacing w:line="576" w:lineRule="exact"/>
        <w:ind w:firstLine="640" w:firstLineChars="200"/>
        <w:rPr>
          <w:rFonts w:eastAsia="仿宋_GB2312"/>
          <w:sz w:val="32"/>
          <w:szCs w:val="32"/>
        </w:rPr>
      </w:pPr>
      <w:r>
        <w:rPr>
          <w:rFonts w:eastAsia="仿宋_GB2312"/>
          <w:sz w:val="32"/>
          <w:szCs w:val="32"/>
        </w:rPr>
        <w:t>领导职数：核定局（办）领导职数</w:t>
      </w:r>
      <w:r>
        <w:rPr>
          <w:rFonts w:hint="eastAsia" w:eastAsia="仿宋_GB2312"/>
          <w:sz w:val="32"/>
          <w:szCs w:val="32"/>
        </w:rPr>
        <w:t>4</w:t>
      </w:r>
      <w:r>
        <w:rPr>
          <w:rFonts w:eastAsia="仿宋_GB2312"/>
          <w:sz w:val="32"/>
          <w:szCs w:val="32"/>
        </w:rPr>
        <w:t>名。</w:t>
      </w:r>
    </w:p>
    <w:p>
      <w:pPr>
        <w:spacing w:line="576" w:lineRule="exact"/>
        <w:ind w:firstLine="640" w:firstLineChars="200"/>
        <w:rPr>
          <w:rFonts w:eastAsia="黑体"/>
          <w:bCs/>
          <w:sz w:val="32"/>
          <w:szCs w:val="32"/>
        </w:rPr>
      </w:pPr>
      <w:r>
        <w:rPr>
          <w:rFonts w:eastAsia="黑体"/>
          <w:bCs/>
          <w:sz w:val="32"/>
          <w:szCs w:val="32"/>
        </w:rPr>
        <w:t>五、附则</w:t>
      </w:r>
    </w:p>
    <w:p>
      <w:pPr>
        <w:spacing w:line="576" w:lineRule="exact"/>
        <w:ind w:firstLine="640" w:firstLineChars="200"/>
        <w:rPr>
          <w:rFonts w:eastAsia="仿宋_GB2312"/>
          <w:sz w:val="32"/>
          <w:szCs w:val="32"/>
        </w:rPr>
      </w:pPr>
      <w:r>
        <w:rPr>
          <w:rFonts w:eastAsia="仿宋_GB2312"/>
          <w:sz w:val="32"/>
          <w:szCs w:val="32"/>
        </w:rPr>
        <w:t>（一）本规定由区机构编制委员会办公室负责解释，其调整由区机构编制委员会办公室按规定程序办理。</w:t>
      </w:r>
    </w:p>
    <w:p>
      <w:pPr>
        <w:spacing w:line="576" w:lineRule="exact"/>
        <w:ind w:firstLine="640" w:firstLineChars="200"/>
        <w:rPr>
          <w:rFonts w:eastAsia="仿宋_GB2312"/>
          <w:sz w:val="32"/>
          <w:szCs w:val="32"/>
        </w:rPr>
      </w:pPr>
      <w:r>
        <w:rPr>
          <w:rFonts w:eastAsia="仿宋_GB2312"/>
          <w:sz w:val="32"/>
          <w:szCs w:val="32"/>
        </w:rPr>
        <w:t>（二）区机构编制委员会办公室对区食品药品监督管理局（食品安全委员会办公室）职责履行情况进行监督检查。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4"/>
        <w:gridCol w:w="1563"/>
        <w:gridCol w:w="1422"/>
        <w:gridCol w:w="1153"/>
        <w:gridCol w:w="122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27"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3"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4"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7"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09"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(十)医疗卫生</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113.47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113.47</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113.47</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3"/>
        <w:gridCol w:w="2005"/>
        <w:gridCol w:w="1370"/>
        <w:gridCol w:w="1369"/>
        <w:gridCol w:w="1363"/>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30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0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1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药监局</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2101001</w:t>
            </w: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2101099</w:t>
            </w: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其他食品和药品监督管理事务支出</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113.47</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100.47</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Style w:val="15"/>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8"/>
        <w:gridCol w:w="2072"/>
        <w:gridCol w:w="1399"/>
        <w:gridCol w:w="1234"/>
        <w:gridCol w:w="1441"/>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jc w:val="center"/>
        </w:trPr>
        <w:tc>
          <w:tcPr>
            <w:tcW w:w="8835"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1368" w:type="dxa"/>
            <w:shd w:val="clear"/>
            <w:vAlign w:val="bottom"/>
          </w:tcPr>
          <w:p>
            <w:pPr>
              <w:jc w:val="both"/>
              <w:rPr>
                <w:rFonts w:hint="eastAsia" w:ascii="宋体" w:hAnsi="宋体" w:eastAsia="宋体" w:cs="宋体"/>
                <w:i w:val="0"/>
                <w:color w:val="000000"/>
                <w:sz w:val="21"/>
                <w:szCs w:val="21"/>
                <w:u w:val="none"/>
              </w:rPr>
            </w:pPr>
          </w:p>
        </w:tc>
        <w:tc>
          <w:tcPr>
            <w:tcW w:w="2072" w:type="dxa"/>
            <w:shd w:val="clear"/>
            <w:vAlign w:val="bottom"/>
          </w:tcPr>
          <w:p>
            <w:pPr>
              <w:jc w:val="both"/>
              <w:rPr>
                <w:rFonts w:hint="eastAsia" w:ascii="宋体" w:hAnsi="宋体" w:eastAsia="宋体" w:cs="宋体"/>
                <w:i w:val="0"/>
                <w:color w:val="000000"/>
                <w:sz w:val="22"/>
                <w:szCs w:val="22"/>
                <w:u w:val="none"/>
              </w:rPr>
            </w:pPr>
          </w:p>
        </w:tc>
        <w:tc>
          <w:tcPr>
            <w:tcW w:w="1399" w:type="dxa"/>
            <w:shd w:val="clear"/>
            <w:vAlign w:val="bottom"/>
          </w:tcPr>
          <w:p>
            <w:pPr>
              <w:jc w:val="both"/>
              <w:rPr>
                <w:rFonts w:hint="eastAsia" w:ascii="宋体" w:hAnsi="宋体" w:eastAsia="宋体" w:cs="宋体"/>
                <w:i w:val="0"/>
                <w:color w:val="000000"/>
                <w:sz w:val="22"/>
                <w:szCs w:val="22"/>
                <w:u w:val="none"/>
              </w:rPr>
            </w:pPr>
          </w:p>
        </w:tc>
        <w:tc>
          <w:tcPr>
            <w:tcW w:w="1234" w:type="dxa"/>
            <w:shd w:val="clear"/>
            <w:vAlign w:val="bottom"/>
          </w:tcPr>
          <w:p>
            <w:pPr>
              <w:jc w:val="both"/>
              <w:rPr>
                <w:rFonts w:hint="eastAsia" w:ascii="宋体" w:hAnsi="宋体" w:eastAsia="宋体" w:cs="宋体"/>
                <w:i w:val="0"/>
                <w:color w:val="000000"/>
                <w:sz w:val="22"/>
                <w:szCs w:val="22"/>
                <w:u w:val="none"/>
              </w:rPr>
            </w:pPr>
          </w:p>
        </w:tc>
        <w:tc>
          <w:tcPr>
            <w:tcW w:w="2762"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jc w:val="center"/>
        </w:trPr>
        <w:tc>
          <w:tcPr>
            <w:tcW w:w="3440"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074"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321"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41"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321"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96.15</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96.15</w:t>
            </w:r>
          </w:p>
        </w:tc>
        <w:tc>
          <w:tcPr>
            <w:tcW w:w="1441"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19.24</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19.24</w:t>
            </w:r>
          </w:p>
        </w:tc>
        <w:tc>
          <w:tcPr>
            <w:tcW w:w="144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w:t>
            </w:r>
          </w:p>
        </w:tc>
        <w:tc>
          <w:tcPr>
            <w:tcW w:w="144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9.18</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9.18</w:t>
            </w:r>
          </w:p>
        </w:tc>
        <w:tc>
          <w:tcPr>
            <w:tcW w:w="144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41"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4.32</w:t>
            </w:r>
          </w:p>
        </w:tc>
        <w:tc>
          <w:tcPr>
            <w:tcW w:w="1234"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4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3.49</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0.83</w:t>
            </w:r>
          </w:p>
        </w:tc>
        <w:tc>
          <w:tcPr>
            <w:tcW w:w="123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1"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0.83</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0.78</w:t>
            </w:r>
          </w:p>
        </w:tc>
        <w:tc>
          <w:tcPr>
            <w:tcW w:w="123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1"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0.78</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3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1"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23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1"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0.32</w:t>
            </w:r>
          </w:p>
        </w:tc>
        <w:tc>
          <w:tcPr>
            <w:tcW w:w="123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1"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0.32</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8"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7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234"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1"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3440"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100.47</w:t>
            </w:r>
          </w:p>
        </w:tc>
        <w:tc>
          <w:tcPr>
            <w:tcW w:w="123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96.15</w:t>
            </w:r>
          </w:p>
        </w:tc>
        <w:tc>
          <w:tcPr>
            <w:tcW w:w="1441"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3.49</w:t>
            </w:r>
          </w:p>
        </w:tc>
        <w:tc>
          <w:tcPr>
            <w:tcW w:w="1321"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2017年乃东区食药局政府性基金预算支出表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92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vAlign w:val="center"/>
          </w:tcPr>
          <w:p>
            <w:pPr>
              <w:rPr>
                <w:rFonts w:hint="eastAsia" w:ascii="宋体" w:hAnsi="宋体" w:eastAsia="宋体" w:cs="宋体"/>
                <w:i w:val="0"/>
                <w:color w:val="000000"/>
                <w:sz w:val="18"/>
                <w:szCs w:val="18"/>
                <w:u w:val="none"/>
              </w:rPr>
            </w:pPr>
          </w:p>
        </w:tc>
        <w:tc>
          <w:tcPr>
            <w:tcW w:w="1130" w:type="dxa"/>
            <w:shd w:val="clear"/>
            <w:vAlign w:val="center"/>
          </w:tcPr>
          <w:p>
            <w:pPr>
              <w:rPr>
                <w:rFonts w:hint="eastAsia" w:ascii="宋体" w:hAnsi="宋体" w:eastAsia="宋体" w:cs="宋体"/>
                <w:i w:val="0"/>
                <w:color w:val="000000"/>
                <w:sz w:val="18"/>
                <w:szCs w:val="18"/>
                <w:u w:val="none"/>
              </w:rPr>
            </w:pPr>
          </w:p>
        </w:tc>
        <w:tc>
          <w:tcPr>
            <w:tcW w:w="1131" w:type="dxa"/>
            <w:shd w:val="clear"/>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注：乃东区食药局2017年没有使用政府性基金安排的支出，故本表无数据。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10"/>
        <w:gridCol w:w="2558"/>
        <w:gridCol w:w="1911"/>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510" w:type="dxa"/>
            <w:shd w:val="clear"/>
            <w:vAlign w:val="center"/>
          </w:tcPr>
          <w:p>
            <w:pPr>
              <w:jc w:val="left"/>
              <w:rPr>
                <w:rFonts w:hint="eastAsia" w:ascii="宋体" w:hAnsi="宋体" w:eastAsia="宋体" w:cs="宋体"/>
                <w:i w:val="0"/>
                <w:color w:val="000000"/>
                <w:sz w:val="21"/>
                <w:szCs w:val="21"/>
                <w:u w:val="none"/>
              </w:rPr>
            </w:pPr>
          </w:p>
        </w:tc>
        <w:tc>
          <w:tcPr>
            <w:tcW w:w="2558" w:type="dxa"/>
            <w:shd w:val="clear"/>
            <w:vAlign w:val="bottom"/>
          </w:tcPr>
          <w:p>
            <w:pPr>
              <w:rPr>
                <w:rFonts w:hint="eastAsia" w:ascii="宋体" w:hAnsi="宋体" w:eastAsia="宋体" w:cs="宋体"/>
                <w:i w:val="0"/>
                <w:color w:val="000000"/>
                <w:sz w:val="18"/>
                <w:szCs w:val="18"/>
                <w:u w:val="none"/>
              </w:rPr>
            </w:pPr>
          </w:p>
        </w:tc>
        <w:tc>
          <w:tcPr>
            <w:tcW w:w="1911" w:type="dxa"/>
            <w:shd w:val="clear"/>
            <w:vAlign w:val="bottom"/>
          </w:tcPr>
          <w:p>
            <w:pPr>
              <w:rPr>
                <w:rFonts w:hint="eastAsia" w:ascii="宋体" w:hAnsi="宋体" w:eastAsia="宋体" w:cs="宋体"/>
                <w:i w:val="0"/>
                <w:color w:val="000000"/>
                <w:sz w:val="18"/>
                <w:szCs w:val="18"/>
                <w:u w:val="none"/>
              </w:rPr>
            </w:pPr>
          </w:p>
        </w:tc>
        <w:tc>
          <w:tcPr>
            <w:tcW w:w="1211"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(十)医疗卫生</w:t>
            </w: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1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2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35"/>
        <w:gridCol w:w="907"/>
        <w:gridCol w:w="459"/>
        <w:gridCol w:w="1089"/>
        <w:gridCol w:w="617"/>
        <w:gridCol w:w="451"/>
        <w:gridCol w:w="459"/>
        <w:gridCol w:w="412"/>
        <w:gridCol w:w="396"/>
        <w:gridCol w:w="365"/>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35" w:type="dxa"/>
            <w:shd w:val="clear"/>
            <w:vAlign w:val="bottom"/>
          </w:tcPr>
          <w:p>
            <w:pPr>
              <w:rPr>
                <w:rFonts w:hint="eastAsia" w:ascii="宋体" w:hAnsi="宋体" w:eastAsia="宋体" w:cs="宋体"/>
                <w:i w:val="0"/>
                <w:color w:val="000000"/>
                <w:sz w:val="18"/>
                <w:szCs w:val="18"/>
                <w:u w:val="none"/>
              </w:rPr>
            </w:pPr>
          </w:p>
        </w:tc>
        <w:tc>
          <w:tcPr>
            <w:tcW w:w="907" w:type="dxa"/>
            <w:shd w:val="clear"/>
            <w:vAlign w:val="bottom"/>
          </w:tcPr>
          <w:p>
            <w:pPr>
              <w:rPr>
                <w:rFonts w:hint="eastAsia" w:ascii="宋体" w:hAnsi="宋体" w:eastAsia="宋体" w:cs="宋体"/>
                <w:i w:val="0"/>
                <w:color w:val="000000"/>
                <w:sz w:val="18"/>
                <w:szCs w:val="18"/>
                <w:u w:val="none"/>
              </w:rPr>
            </w:pPr>
          </w:p>
        </w:tc>
        <w:tc>
          <w:tcPr>
            <w:tcW w:w="459" w:type="dxa"/>
            <w:shd w:val="clear"/>
            <w:vAlign w:val="bottom"/>
          </w:tcPr>
          <w:p>
            <w:pPr>
              <w:rPr>
                <w:rFonts w:hint="eastAsia" w:ascii="宋体" w:hAnsi="宋体" w:eastAsia="宋体" w:cs="宋体"/>
                <w:i w:val="0"/>
                <w:color w:val="000000"/>
                <w:sz w:val="18"/>
                <w:szCs w:val="18"/>
                <w:u w:val="none"/>
              </w:rPr>
            </w:pPr>
          </w:p>
        </w:tc>
        <w:tc>
          <w:tcPr>
            <w:tcW w:w="1089" w:type="dxa"/>
            <w:shd w:val="clear"/>
            <w:vAlign w:val="bottom"/>
          </w:tcPr>
          <w:p>
            <w:pPr>
              <w:rPr>
                <w:rFonts w:hint="eastAsia" w:ascii="宋体" w:hAnsi="宋体" w:eastAsia="宋体" w:cs="宋体"/>
                <w:i w:val="0"/>
                <w:color w:val="000000"/>
                <w:sz w:val="18"/>
                <w:szCs w:val="18"/>
                <w:u w:val="none"/>
              </w:rPr>
            </w:pPr>
          </w:p>
        </w:tc>
        <w:tc>
          <w:tcPr>
            <w:tcW w:w="617" w:type="dxa"/>
            <w:shd w:val="clear"/>
            <w:vAlign w:val="bottom"/>
          </w:tcPr>
          <w:p>
            <w:pPr>
              <w:rPr>
                <w:rFonts w:hint="eastAsia" w:ascii="宋体" w:hAnsi="宋体" w:eastAsia="宋体" w:cs="宋体"/>
                <w:i w:val="0"/>
                <w:color w:val="000000"/>
                <w:sz w:val="18"/>
                <w:szCs w:val="18"/>
                <w:u w:val="none"/>
              </w:rPr>
            </w:pPr>
          </w:p>
        </w:tc>
        <w:tc>
          <w:tcPr>
            <w:tcW w:w="451" w:type="dxa"/>
            <w:shd w:val="clear"/>
            <w:vAlign w:val="bottom"/>
          </w:tcPr>
          <w:p>
            <w:pPr>
              <w:rPr>
                <w:rFonts w:hint="eastAsia" w:ascii="宋体" w:hAnsi="宋体" w:eastAsia="宋体" w:cs="宋体"/>
                <w:i w:val="0"/>
                <w:color w:val="000000"/>
                <w:sz w:val="18"/>
                <w:szCs w:val="18"/>
                <w:u w:val="none"/>
              </w:rPr>
            </w:pPr>
          </w:p>
        </w:tc>
        <w:tc>
          <w:tcPr>
            <w:tcW w:w="459" w:type="dxa"/>
            <w:shd w:val="clear"/>
            <w:vAlign w:val="bottom"/>
          </w:tcPr>
          <w:p>
            <w:pPr>
              <w:rPr>
                <w:rFonts w:hint="eastAsia" w:ascii="宋体" w:hAnsi="宋体" w:eastAsia="宋体" w:cs="宋体"/>
                <w:i w:val="0"/>
                <w:color w:val="000000"/>
                <w:sz w:val="18"/>
                <w:szCs w:val="18"/>
                <w:u w:val="none"/>
              </w:rPr>
            </w:pPr>
          </w:p>
        </w:tc>
        <w:tc>
          <w:tcPr>
            <w:tcW w:w="412" w:type="dxa"/>
            <w:shd w:val="clear"/>
            <w:vAlign w:val="bottom"/>
          </w:tcPr>
          <w:p>
            <w:pPr>
              <w:rPr>
                <w:rFonts w:hint="eastAsia" w:ascii="宋体" w:hAnsi="宋体" w:eastAsia="宋体" w:cs="宋体"/>
                <w:i w:val="0"/>
                <w:color w:val="000000"/>
                <w:sz w:val="18"/>
                <w:szCs w:val="18"/>
                <w:u w:val="none"/>
              </w:rPr>
            </w:pPr>
          </w:p>
        </w:tc>
        <w:tc>
          <w:tcPr>
            <w:tcW w:w="396" w:type="dxa"/>
            <w:shd w:val="clear"/>
            <w:vAlign w:val="bottom"/>
          </w:tcPr>
          <w:p>
            <w:pPr>
              <w:rPr>
                <w:rFonts w:hint="eastAsia" w:ascii="宋体" w:hAnsi="宋体" w:eastAsia="宋体" w:cs="宋体"/>
                <w:i w:val="0"/>
                <w:color w:val="000000"/>
                <w:sz w:val="18"/>
                <w:szCs w:val="18"/>
                <w:u w:val="none"/>
              </w:rPr>
            </w:pPr>
          </w:p>
        </w:tc>
        <w:tc>
          <w:tcPr>
            <w:tcW w:w="846"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药监局</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2101001</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2101099</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其他食品和药品监督管理事务支出</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113.47</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113.47</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1"/>
        <w:gridCol w:w="2444"/>
        <w:gridCol w:w="1033"/>
        <w:gridCol w:w="960"/>
        <w:gridCol w:w="581"/>
        <w:gridCol w:w="864"/>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2017年乃东区食药局部门支出总表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1"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4"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3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auto"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药监局</w:t>
            </w:r>
          </w:p>
        </w:tc>
        <w:tc>
          <w:tcPr>
            <w:tcW w:w="10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113.47</w:t>
            </w:r>
          </w:p>
        </w:tc>
        <w:tc>
          <w:tcPr>
            <w:tcW w:w="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2101001</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100.47</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2101099</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其他食品和药品监督管理事务支出</w:t>
            </w:r>
          </w:p>
        </w:tc>
        <w:tc>
          <w:tcPr>
            <w:tcW w:w="10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113.47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13.00 </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乃东区食品药品监督管理局（食品安全委员会办公室）2017年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乃东区食品药品监督管理局（食品安全委员会办公室）2017年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医疗卫生113.47万元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96.15</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项目支出13万元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医疗卫生113.47</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10药监局支出113.47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2101001行政运行100.47万元，2101099其他食品和药品监督管理事务支出13万元。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132.78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96.15</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65.63</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9.18</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4.32</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0.83</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0.78</w:t>
      </w:r>
      <w:r>
        <w:rPr>
          <w:rFonts w:hint="eastAsia" w:ascii="仿宋_GB2312" w:hAnsi="仿宋_GB2312" w:eastAsia="仿宋_GB2312" w:cs="仿宋_GB2312"/>
          <w:color w:val="000000" w:themeColor="text1"/>
          <w:sz w:val="32"/>
          <w:szCs w:val="32"/>
          <w14:textFill>
            <w14:solidFill>
              <w14:schemeClr w14:val="tx1"/>
            </w14:solidFill>
          </w14:textFill>
        </w:rPr>
        <w:t xml:space="preserve">万元，水费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0.69</w:t>
      </w:r>
      <w:r>
        <w:rPr>
          <w:rFonts w:hint="eastAsia" w:ascii="仿宋_GB2312" w:hAnsi="仿宋_GB2312" w:eastAsia="仿宋_GB2312" w:cs="仿宋_GB2312"/>
          <w:color w:val="000000" w:themeColor="text1"/>
          <w:sz w:val="32"/>
          <w:szCs w:val="32"/>
          <w14:textFill>
            <w14:solidFill>
              <w14:schemeClr w14:val="tx1"/>
            </w14:solidFill>
          </w14:textFill>
        </w:rPr>
        <w:t>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0.32</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2017年三公经费预算合计1.53万元，同比增加1.53万元，上升100%。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增加的原因主要是需要执行的相关工作增加，下乡次数增多，致使油料费增加。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乃东区食品药品监督管理局（食品安全委员会办公室）2017年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100.47</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100.47</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113.47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医疗卫生支出113.47万元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2017年食药局机关运行经费预算为6.3万元，与2016年3.6万元相比增加2.7万元，增加75%。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增加原因为：食药局为新成立部门，2017年人员新增较多，因此经费增加。</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5671262"/>
    <w:rsid w:val="62620C9C"/>
    <w:rsid w:val="68BF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1"/>
    <w:basedOn w:val="5"/>
    <w:uiPriority w:val="0"/>
    <w:rPr>
      <w:rFonts w:hint="eastAsia" w:ascii="宋体" w:hAnsi="宋体" w:eastAsia="宋体" w:cs="宋体"/>
      <w:color w:val="000000"/>
      <w:sz w:val="21"/>
      <w:szCs w:val="21"/>
      <w:u w:val="none"/>
    </w:rPr>
  </w:style>
  <w:style w:type="character" w:customStyle="1" w:styleId="15">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2018-12-19T04:06:32Z</cp:lastPrinted>
  <dcterms:modified xsi:type="dcterms:W3CDTF">2018-12-19T04:15:51Z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